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A9" w:rsidRPr="00011D7B" w:rsidRDefault="00DF6ED5" w:rsidP="00CA3291">
      <w:pPr>
        <w:spacing w:after="0" w:line="240" w:lineRule="auto"/>
        <w:rPr>
          <w:b/>
          <w:sz w:val="28"/>
          <w:szCs w:val="28"/>
        </w:rPr>
      </w:pPr>
      <w:bookmarkStart w:id="0" w:name="_GoBack"/>
      <w:bookmarkEnd w:id="0"/>
      <w:r w:rsidRPr="00011D7B">
        <w:rPr>
          <w:b/>
          <w:sz w:val="28"/>
          <w:szCs w:val="28"/>
        </w:rPr>
        <w:t xml:space="preserve">The 2014 </w:t>
      </w:r>
      <w:r w:rsidR="005E1984" w:rsidRPr="00011D7B">
        <w:rPr>
          <w:b/>
          <w:sz w:val="28"/>
          <w:szCs w:val="28"/>
        </w:rPr>
        <w:t>World Parks Congress</w:t>
      </w:r>
      <w:r w:rsidR="007265F6" w:rsidRPr="00011D7B">
        <w:rPr>
          <w:b/>
          <w:sz w:val="28"/>
          <w:szCs w:val="28"/>
        </w:rPr>
        <w:t xml:space="preserve"> (WPC)</w:t>
      </w:r>
      <w:r w:rsidRPr="00011D7B">
        <w:rPr>
          <w:b/>
          <w:sz w:val="28"/>
          <w:szCs w:val="28"/>
        </w:rPr>
        <w:t xml:space="preserve"> and marine protected areas</w:t>
      </w:r>
    </w:p>
    <w:p w:rsidR="00C543A9" w:rsidRPr="005E1984" w:rsidRDefault="00C543A9" w:rsidP="00CA3291">
      <w:pPr>
        <w:spacing w:after="0" w:line="240" w:lineRule="auto"/>
      </w:pPr>
    </w:p>
    <w:p w:rsidR="00F876A3" w:rsidRPr="00011D7B" w:rsidRDefault="00011D7B" w:rsidP="00CA3291">
      <w:pPr>
        <w:shd w:val="clear" w:color="auto" w:fill="FFFFFF"/>
        <w:spacing w:after="0" w:line="240" w:lineRule="auto"/>
        <w:rPr>
          <w:rFonts w:eastAsia="Times New Roman" w:cs="Times New Roman"/>
          <w:b/>
          <w:sz w:val="24"/>
          <w:szCs w:val="24"/>
          <w:lang w:val="en-US" w:eastAsia="en-GB"/>
        </w:rPr>
      </w:pPr>
      <w:r>
        <w:rPr>
          <w:rFonts w:eastAsia="Times New Roman" w:cs="Times New Roman"/>
          <w:b/>
          <w:sz w:val="24"/>
          <w:szCs w:val="24"/>
          <w:lang w:eastAsia="en-GB"/>
        </w:rPr>
        <w:t>Congress</w:t>
      </w:r>
      <w:r w:rsidR="00F876A3" w:rsidRPr="00011D7B">
        <w:rPr>
          <w:rFonts w:eastAsia="Times New Roman" w:cs="Times New Roman"/>
          <w:b/>
          <w:sz w:val="24"/>
          <w:szCs w:val="24"/>
          <w:lang w:val="en-US" w:eastAsia="en-GB"/>
        </w:rPr>
        <w:t xml:space="preserve"> overview</w:t>
      </w:r>
    </w:p>
    <w:p w:rsidR="00F876A3" w:rsidRPr="00C851EE" w:rsidRDefault="00F876A3" w:rsidP="00CA3291">
      <w:pPr>
        <w:shd w:val="clear" w:color="auto" w:fill="FFFFFF"/>
        <w:spacing w:after="0" w:line="240" w:lineRule="auto"/>
        <w:rPr>
          <w:rFonts w:eastAsia="Times New Roman" w:cs="Times New Roman"/>
          <w:b/>
          <w:lang w:val="en-US" w:eastAsia="en-GB"/>
        </w:rPr>
      </w:pPr>
    </w:p>
    <w:p w:rsidR="00D10FBB" w:rsidRDefault="00591B94" w:rsidP="00CA3291">
      <w:pPr>
        <w:shd w:val="clear" w:color="auto" w:fill="FFFFFF"/>
        <w:spacing w:after="0" w:line="240" w:lineRule="auto"/>
        <w:rPr>
          <w:rFonts w:eastAsia="Times New Roman" w:cs="Times New Roman"/>
          <w:lang w:val="en-US" w:eastAsia="en-GB"/>
        </w:rPr>
      </w:pPr>
      <w:r w:rsidRPr="00C851EE">
        <w:rPr>
          <w:rFonts w:eastAsia="Times New Roman" w:cs="Times New Roman"/>
          <w:lang w:val="en-US" w:eastAsia="en-GB"/>
        </w:rPr>
        <w:t xml:space="preserve">Over 6000 participants from </w:t>
      </w:r>
      <w:r w:rsidR="00D10FBB">
        <w:rPr>
          <w:rFonts w:eastAsia="Times New Roman" w:cs="Times New Roman"/>
          <w:lang w:val="en-US" w:eastAsia="en-GB"/>
        </w:rPr>
        <w:t>more than</w:t>
      </w:r>
      <w:r w:rsidRPr="00C851EE">
        <w:rPr>
          <w:rFonts w:eastAsia="Times New Roman" w:cs="Times New Roman"/>
          <w:lang w:val="en-US" w:eastAsia="en-GB"/>
        </w:rPr>
        <w:t xml:space="preserve"> 170 countries </w:t>
      </w:r>
      <w:r w:rsidR="00456E34" w:rsidRPr="00C851EE">
        <w:rPr>
          <w:rFonts w:eastAsia="Times New Roman" w:cs="Times New Roman"/>
          <w:lang w:val="en-US" w:eastAsia="en-GB"/>
        </w:rPr>
        <w:t>took part in</w:t>
      </w:r>
      <w:r w:rsidRPr="00C851EE">
        <w:rPr>
          <w:rFonts w:eastAsia="Times New Roman" w:cs="Times New Roman"/>
          <w:lang w:val="en-US" w:eastAsia="en-GB"/>
        </w:rPr>
        <w:t xml:space="preserve"> the IUCN World Parks Congress </w:t>
      </w:r>
      <w:r w:rsidR="008C03CD" w:rsidRPr="00C851EE">
        <w:rPr>
          <w:rFonts w:eastAsia="Times New Roman" w:cs="Times New Roman"/>
          <w:lang w:val="en-US" w:eastAsia="en-GB"/>
        </w:rPr>
        <w:t xml:space="preserve">(WPC) </w:t>
      </w:r>
      <w:r w:rsidR="00456E34" w:rsidRPr="00C851EE">
        <w:rPr>
          <w:rFonts w:eastAsia="Times New Roman" w:cs="Times New Roman"/>
          <w:lang w:val="en-US" w:eastAsia="en-GB"/>
        </w:rPr>
        <w:t xml:space="preserve">in November </w:t>
      </w:r>
      <w:r w:rsidRPr="00C851EE">
        <w:rPr>
          <w:rFonts w:eastAsia="Times New Roman" w:cs="Times New Roman"/>
          <w:lang w:val="en-US" w:eastAsia="en-GB"/>
        </w:rPr>
        <w:t xml:space="preserve">2014 in Sydney, Australia. </w:t>
      </w:r>
      <w:r w:rsidR="00456E34" w:rsidRPr="00C851EE">
        <w:rPr>
          <w:rFonts w:eastAsia="Times New Roman" w:cs="Times New Roman"/>
          <w:lang w:val="en-US" w:eastAsia="en-GB"/>
        </w:rPr>
        <w:t>These gatherings</w:t>
      </w:r>
      <w:r w:rsidR="00211996">
        <w:rPr>
          <w:rFonts w:eastAsia="Times New Roman" w:cs="Times New Roman"/>
          <w:lang w:val="en-US" w:eastAsia="en-GB"/>
        </w:rPr>
        <w:t>,</w:t>
      </w:r>
      <w:r w:rsidR="00456E34" w:rsidRPr="00C851EE">
        <w:rPr>
          <w:rFonts w:eastAsia="Times New Roman" w:cs="Times New Roman"/>
          <w:lang w:val="en-US" w:eastAsia="en-GB"/>
        </w:rPr>
        <w:t xml:space="preserve"> tak</w:t>
      </w:r>
      <w:r w:rsidR="00211996">
        <w:rPr>
          <w:rFonts w:eastAsia="Times New Roman" w:cs="Times New Roman"/>
          <w:lang w:val="en-US" w:eastAsia="en-GB"/>
        </w:rPr>
        <w:t>ing</w:t>
      </w:r>
      <w:r w:rsidR="00456E34" w:rsidRPr="00C851EE">
        <w:rPr>
          <w:rFonts w:eastAsia="Times New Roman" w:cs="Times New Roman"/>
          <w:lang w:val="en-US" w:eastAsia="en-GB"/>
        </w:rPr>
        <w:t xml:space="preserve"> place every 10 years, are aimed at pulling together current thinking on all aspects of protected areas and setting out a broad vision for the next decade.  </w:t>
      </w:r>
      <w:r w:rsidR="008C03CD" w:rsidRPr="00C851EE">
        <w:rPr>
          <w:rFonts w:eastAsia="Times New Roman" w:cs="Times New Roman"/>
          <w:lang w:val="en-US" w:eastAsia="en-GB"/>
        </w:rPr>
        <w:t xml:space="preserve">For </w:t>
      </w:r>
      <w:r w:rsidR="007D149C">
        <w:rPr>
          <w:rFonts w:eastAsia="Times New Roman" w:cs="Times New Roman"/>
          <w:lang w:val="en-US" w:eastAsia="en-GB"/>
        </w:rPr>
        <w:t>MPAs</w:t>
      </w:r>
      <w:r w:rsidR="008C03CD" w:rsidRPr="00C851EE">
        <w:rPr>
          <w:rFonts w:eastAsia="Times New Roman" w:cs="Times New Roman"/>
          <w:lang w:val="en-US" w:eastAsia="en-GB"/>
        </w:rPr>
        <w:t xml:space="preserve">, </w:t>
      </w:r>
      <w:r w:rsidR="00C671DB" w:rsidRPr="00C851EE">
        <w:rPr>
          <w:rFonts w:eastAsia="Times New Roman" w:cs="Times New Roman"/>
          <w:lang w:val="en-US" w:eastAsia="en-GB"/>
        </w:rPr>
        <w:t>th</w:t>
      </w:r>
      <w:r w:rsidR="00D10FBB">
        <w:rPr>
          <w:rFonts w:eastAsia="Times New Roman" w:cs="Times New Roman"/>
          <w:lang w:val="en-US" w:eastAsia="en-GB"/>
        </w:rPr>
        <w:t>is</w:t>
      </w:r>
      <w:r w:rsidR="00C671DB" w:rsidRPr="00C851EE">
        <w:rPr>
          <w:rFonts w:eastAsia="Times New Roman" w:cs="Times New Roman"/>
          <w:lang w:val="en-US" w:eastAsia="en-GB"/>
        </w:rPr>
        <w:t xml:space="preserve"> </w:t>
      </w:r>
      <w:r w:rsidR="00D10FBB">
        <w:rPr>
          <w:rFonts w:eastAsia="Times New Roman" w:cs="Times New Roman"/>
          <w:lang w:val="en-US" w:eastAsia="en-GB"/>
        </w:rPr>
        <w:t>WPC</w:t>
      </w:r>
      <w:r w:rsidR="00C671DB" w:rsidRPr="00C851EE">
        <w:rPr>
          <w:rFonts w:eastAsia="Times New Roman" w:cs="Times New Roman"/>
          <w:lang w:val="en-US" w:eastAsia="en-GB"/>
        </w:rPr>
        <w:t xml:space="preserve"> represented a </w:t>
      </w:r>
      <w:r w:rsidR="008C03CD" w:rsidRPr="00C851EE">
        <w:rPr>
          <w:rFonts w:eastAsia="Times New Roman" w:cs="Times New Roman"/>
          <w:lang w:val="en-US" w:eastAsia="en-GB"/>
        </w:rPr>
        <w:t xml:space="preserve">real </w:t>
      </w:r>
      <w:r w:rsidR="00C671DB" w:rsidRPr="00C851EE">
        <w:rPr>
          <w:rFonts w:eastAsia="Times New Roman" w:cs="Times New Roman"/>
          <w:lang w:val="en-US" w:eastAsia="en-GB"/>
        </w:rPr>
        <w:t>turning point</w:t>
      </w:r>
      <w:r w:rsidR="00BC4ADD" w:rsidRPr="00C851EE">
        <w:rPr>
          <w:rFonts w:eastAsia="Times New Roman" w:cs="Times New Roman"/>
          <w:lang w:val="en-US" w:eastAsia="en-GB"/>
        </w:rPr>
        <w:t xml:space="preserve">, the result of hard work by the Marine Cross-cut Team, </w:t>
      </w:r>
      <w:r w:rsidR="002761A0">
        <w:rPr>
          <w:rFonts w:eastAsia="Times New Roman" w:cs="Times New Roman"/>
          <w:lang w:val="en-US" w:eastAsia="en-GB"/>
        </w:rPr>
        <w:t>led by</w:t>
      </w:r>
      <w:r w:rsidR="00BC4ADD" w:rsidRPr="00C851EE">
        <w:rPr>
          <w:rFonts w:eastAsia="Times New Roman" w:cs="Times New Roman"/>
          <w:lang w:val="en-US" w:eastAsia="en-GB"/>
        </w:rPr>
        <w:t xml:space="preserve"> </w:t>
      </w:r>
      <w:r w:rsidR="002761A0">
        <w:rPr>
          <w:rFonts w:eastAsia="Times New Roman" w:cs="Times New Roman"/>
          <w:lang w:val="en-US" w:eastAsia="en-GB"/>
        </w:rPr>
        <w:t xml:space="preserve">WCPA-Marine (the marine section of IUCN’s World Commission on Protected Areas), and comprising representatives of </w:t>
      </w:r>
      <w:r w:rsidR="00BC4ADD" w:rsidRPr="00C851EE">
        <w:rPr>
          <w:rFonts w:eastAsia="Times New Roman" w:cs="Times New Roman"/>
          <w:lang w:val="en-US" w:eastAsia="en-GB"/>
        </w:rPr>
        <w:t>IUCN</w:t>
      </w:r>
      <w:r w:rsidR="002761A0">
        <w:rPr>
          <w:rFonts w:eastAsia="Times New Roman" w:cs="Times New Roman"/>
          <w:lang w:val="en-US" w:eastAsia="en-GB"/>
        </w:rPr>
        <w:t xml:space="preserve"> Marine staff</w:t>
      </w:r>
      <w:r w:rsidR="00BC4ADD" w:rsidRPr="00C851EE">
        <w:rPr>
          <w:rFonts w:eastAsia="Times New Roman" w:cs="Times New Roman"/>
          <w:lang w:val="en-US" w:eastAsia="en-GB"/>
        </w:rPr>
        <w:t>, NOAA (the USA’s National Oceanic and Atmospheric Administration</w:t>
      </w:r>
      <w:r w:rsidR="007265F6">
        <w:rPr>
          <w:rFonts w:eastAsia="Times New Roman" w:cs="Times New Roman"/>
          <w:lang w:val="en-US" w:eastAsia="en-GB"/>
        </w:rPr>
        <w:t>)</w:t>
      </w:r>
      <w:r w:rsidR="00BC4ADD" w:rsidRPr="00C851EE">
        <w:rPr>
          <w:rFonts w:eastAsia="Times New Roman" w:cs="Times New Roman"/>
          <w:lang w:val="en-US" w:eastAsia="en-GB"/>
        </w:rPr>
        <w:t>, the Great Barrier Reef Marine Park Authority</w:t>
      </w:r>
      <w:r w:rsidR="003B6FC7">
        <w:rPr>
          <w:rFonts w:eastAsia="Times New Roman" w:cs="Times New Roman"/>
          <w:lang w:val="en-US" w:eastAsia="en-GB"/>
        </w:rPr>
        <w:t xml:space="preserve"> and</w:t>
      </w:r>
      <w:r w:rsidR="00BC4ADD" w:rsidRPr="00C851EE">
        <w:rPr>
          <w:rFonts w:eastAsia="Times New Roman" w:cs="Times New Roman"/>
          <w:lang w:val="en-US" w:eastAsia="en-GB"/>
        </w:rPr>
        <w:t xml:space="preserve"> Parks Australia</w:t>
      </w:r>
      <w:r w:rsidR="003B6FC7">
        <w:rPr>
          <w:rFonts w:eastAsia="Times New Roman" w:cs="Times New Roman"/>
          <w:lang w:val="en-US" w:eastAsia="en-GB"/>
        </w:rPr>
        <w:t xml:space="preserve">.  In addition, the IUCN’s Marine and Polar </w:t>
      </w:r>
      <w:proofErr w:type="spellStart"/>
      <w:r w:rsidR="003B6FC7">
        <w:rPr>
          <w:rFonts w:eastAsia="Times New Roman" w:cs="Times New Roman"/>
          <w:lang w:val="en-US" w:eastAsia="en-GB"/>
        </w:rPr>
        <w:t>Programme</w:t>
      </w:r>
      <w:proofErr w:type="spellEnd"/>
      <w:r w:rsidR="003B6FC7">
        <w:rPr>
          <w:rFonts w:eastAsia="Times New Roman" w:cs="Times New Roman"/>
          <w:lang w:val="en-US" w:eastAsia="en-GB"/>
        </w:rPr>
        <w:t xml:space="preserve"> led the organization of the Ocean Pavilion, supported by the French MPA Agency,</w:t>
      </w:r>
      <w:r w:rsidR="003B6FC7" w:rsidRPr="00C851EE">
        <w:rPr>
          <w:rFonts w:eastAsia="Times New Roman" w:cs="Times New Roman"/>
          <w:lang w:val="en-US" w:eastAsia="en-GB"/>
        </w:rPr>
        <w:t xml:space="preserve"> the Canadian Wildlife Federation, Google and other </w:t>
      </w:r>
      <w:proofErr w:type="spellStart"/>
      <w:r w:rsidR="003B6FC7" w:rsidRPr="00C851EE">
        <w:rPr>
          <w:rFonts w:eastAsia="Times New Roman" w:cs="Times New Roman"/>
          <w:lang w:val="en-US" w:eastAsia="en-GB"/>
        </w:rPr>
        <w:t>organisations</w:t>
      </w:r>
      <w:proofErr w:type="spellEnd"/>
      <w:r w:rsidR="003B6FC7" w:rsidRPr="00C851EE">
        <w:rPr>
          <w:rFonts w:eastAsia="Times New Roman" w:cs="Times New Roman"/>
          <w:lang w:val="en-US" w:eastAsia="en-GB"/>
        </w:rPr>
        <w:t>.</w:t>
      </w:r>
      <w:r w:rsidR="008C03CD" w:rsidRPr="00C851EE">
        <w:rPr>
          <w:rFonts w:eastAsia="Times New Roman" w:cs="Times New Roman"/>
          <w:lang w:val="en-US" w:eastAsia="en-GB"/>
        </w:rPr>
        <w:t xml:space="preserve">  </w:t>
      </w:r>
      <w:r w:rsidR="007265F6">
        <w:rPr>
          <w:rFonts w:eastAsia="Times New Roman" w:cs="Times New Roman"/>
          <w:lang w:val="en-US" w:eastAsia="en-GB"/>
        </w:rPr>
        <w:t>T</w:t>
      </w:r>
      <w:r w:rsidR="008C03CD" w:rsidRPr="00C851EE">
        <w:rPr>
          <w:rFonts w:eastAsia="Times New Roman" w:cs="Times New Roman"/>
          <w:lang w:val="en-US" w:eastAsia="en-GB"/>
        </w:rPr>
        <w:t xml:space="preserve">here were some 226 </w:t>
      </w:r>
      <w:r w:rsidR="00F876A3" w:rsidRPr="00C851EE">
        <w:rPr>
          <w:rFonts w:eastAsia="Times New Roman" w:cs="Times New Roman"/>
          <w:lang w:val="en-US" w:eastAsia="en-GB"/>
        </w:rPr>
        <w:t>ocean and ocean-related sessions and</w:t>
      </w:r>
      <w:r w:rsidR="008C03CD" w:rsidRPr="00C851EE">
        <w:rPr>
          <w:rFonts w:eastAsia="Times New Roman" w:cs="Times New Roman"/>
          <w:lang w:val="en-US" w:eastAsia="en-GB"/>
        </w:rPr>
        <w:t xml:space="preserve"> numerous other marine-focused events</w:t>
      </w:r>
      <w:r w:rsidR="00F876A3" w:rsidRPr="00C851EE">
        <w:rPr>
          <w:rFonts w:eastAsia="Times New Roman" w:cs="Times New Roman"/>
          <w:lang w:val="en-US" w:eastAsia="en-GB"/>
        </w:rPr>
        <w:t>;</w:t>
      </w:r>
      <w:r w:rsidR="008C03CD" w:rsidRPr="00C851EE">
        <w:rPr>
          <w:rFonts w:eastAsia="Times New Roman" w:cs="Times New Roman"/>
          <w:lang w:val="en-US" w:eastAsia="en-GB"/>
        </w:rPr>
        <w:t xml:space="preserve"> </w:t>
      </w:r>
      <w:r w:rsidR="00007270" w:rsidRPr="00C851EE">
        <w:rPr>
          <w:rFonts w:eastAsia="Times New Roman" w:cs="Times New Roman"/>
          <w:lang w:val="en-US" w:eastAsia="en-GB"/>
        </w:rPr>
        <w:t xml:space="preserve">numerous </w:t>
      </w:r>
      <w:r w:rsidR="00211996">
        <w:rPr>
          <w:rFonts w:eastAsia="Times New Roman" w:cs="Times New Roman"/>
          <w:lang w:val="en-US" w:eastAsia="en-GB"/>
        </w:rPr>
        <w:t xml:space="preserve">marine related </w:t>
      </w:r>
      <w:r w:rsidR="00007270" w:rsidRPr="00C851EE">
        <w:rPr>
          <w:rFonts w:eastAsia="Times New Roman" w:cs="Times New Roman"/>
          <w:lang w:val="en-US" w:eastAsia="en-GB"/>
        </w:rPr>
        <w:t xml:space="preserve">publications, exciting technologies and new tools and approaches were launched; </w:t>
      </w:r>
      <w:r w:rsidR="008C03CD" w:rsidRPr="00C851EE">
        <w:rPr>
          <w:rFonts w:eastAsia="Times New Roman" w:cs="Times New Roman"/>
          <w:lang w:val="en-US" w:eastAsia="en-GB"/>
        </w:rPr>
        <w:t>and</w:t>
      </w:r>
      <w:r w:rsidR="007265F6">
        <w:rPr>
          <w:rFonts w:eastAsia="Times New Roman" w:cs="Times New Roman"/>
          <w:lang w:val="en-US" w:eastAsia="en-GB"/>
        </w:rPr>
        <w:t>,</w:t>
      </w:r>
      <w:r w:rsidR="008C03CD" w:rsidRPr="00C851EE">
        <w:rPr>
          <w:rFonts w:eastAsia="Times New Roman" w:cs="Times New Roman"/>
          <w:lang w:val="en-US" w:eastAsia="en-GB"/>
        </w:rPr>
        <w:t xml:space="preserve"> perhaps even more significantly</w:t>
      </w:r>
      <w:r w:rsidR="007265F6">
        <w:rPr>
          <w:rFonts w:eastAsia="Times New Roman" w:cs="Times New Roman"/>
          <w:lang w:val="en-US" w:eastAsia="en-GB"/>
        </w:rPr>
        <w:t>,</w:t>
      </w:r>
      <w:r w:rsidR="008C03CD" w:rsidRPr="00C851EE">
        <w:rPr>
          <w:rFonts w:eastAsia="Times New Roman" w:cs="Times New Roman"/>
          <w:lang w:val="en-US" w:eastAsia="en-GB"/>
        </w:rPr>
        <w:t xml:space="preserve"> MPAs were addressed in </w:t>
      </w:r>
      <w:r w:rsidR="007265F6">
        <w:rPr>
          <w:rFonts w:eastAsia="Times New Roman" w:cs="Times New Roman"/>
          <w:lang w:val="en-US" w:eastAsia="en-GB"/>
        </w:rPr>
        <w:t xml:space="preserve">all the plenaries and in the </w:t>
      </w:r>
      <w:r w:rsidR="00F876A3" w:rsidRPr="00C851EE">
        <w:rPr>
          <w:rFonts w:eastAsia="Times New Roman" w:cs="Times New Roman"/>
          <w:lang w:val="en-US" w:eastAsia="en-GB"/>
        </w:rPr>
        <w:t>more general thematic session</w:t>
      </w:r>
      <w:r w:rsidR="007265F6">
        <w:rPr>
          <w:rFonts w:eastAsia="Times New Roman" w:cs="Times New Roman"/>
          <w:lang w:val="en-US" w:eastAsia="en-GB"/>
        </w:rPr>
        <w:t>: MPAs are now</w:t>
      </w:r>
      <w:r w:rsidR="008C03CD" w:rsidRPr="00C851EE">
        <w:rPr>
          <w:rFonts w:eastAsia="Times New Roman" w:cs="Times New Roman"/>
          <w:lang w:val="en-US" w:eastAsia="en-GB"/>
        </w:rPr>
        <w:t xml:space="preserve"> clearly considered part of the mainstream.</w:t>
      </w:r>
      <w:r w:rsidR="00181728" w:rsidRPr="00C851EE">
        <w:rPr>
          <w:rFonts w:eastAsia="Times New Roman" w:cs="Times New Roman"/>
          <w:lang w:val="en-US" w:eastAsia="en-GB"/>
        </w:rPr>
        <w:t xml:space="preserve"> </w:t>
      </w:r>
      <w:r w:rsidR="00D2234D" w:rsidRPr="00C851EE">
        <w:rPr>
          <w:rFonts w:eastAsia="Times New Roman" w:cs="Times New Roman"/>
          <w:lang w:val="en-US" w:eastAsia="en-GB"/>
        </w:rPr>
        <w:t xml:space="preserve"> </w:t>
      </w:r>
    </w:p>
    <w:p w:rsidR="00D10FBB" w:rsidRDefault="00D10FBB" w:rsidP="00CA3291">
      <w:pPr>
        <w:shd w:val="clear" w:color="auto" w:fill="FFFFFF"/>
        <w:spacing w:after="0" w:line="240" w:lineRule="auto"/>
        <w:rPr>
          <w:rFonts w:eastAsia="Times New Roman" w:cs="Times New Roman"/>
          <w:lang w:val="en-US" w:eastAsia="en-GB"/>
        </w:rPr>
      </w:pPr>
    </w:p>
    <w:p w:rsidR="00211996" w:rsidRPr="00211996" w:rsidRDefault="00D10FBB" w:rsidP="00CA3291">
      <w:pPr>
        <w:shd w:val="clear" w:color="auto" w:fill="FFFFFF"/>
        <w:spacing w:after="0" w:line="240" w:lineRule="auto"/>
        <w:rPr>
          <w:rFonts w:eastAsia="Times New Roman" w:cs="Times New Roman"/>
          <w:lang w:val="en-US" w:eastAsia="en-GB"/>
        </w:rPr>
      </w:pPr>
      <w:r w:rsidRPr="00C851EE">
        <w:rPr>
          <w:rFonts w:eastAsia="Times New Roman" w:cs="Times New Roman"/>
          <w:lang w:val="en-US" w:eastAsia="en-GB"/>
        </w:rPr>
        <w:t xml:space="preserve">The size of the </w:t>
      </w:r>
      <w:r>
        <w:rPr>
          <w:rFonts w:eastAsia="Times New Roman" w:cs="Times New Roman"/>
          <w:lang w:val="en-US" w:eastAsia="en-GB"/>
        </w:rPr>
        <w:t>2014 WPC</w:t>
      </w:r>
      <w:r w:rsidRPr="00C851EE">
        <w:rPr>
          <w:rFonts w:eastAsia="Times New Roman" w:cs="Times New Roman"/>
          <w:lang w:val="en-US" w:eastAsia="en-GB"/>
        </w:rPr>
        <w:t xml:space="preserve"> mean</w:t>
      </w:r>
      <w:r>
        <w:rPr>
          <w:rFonts w:eastAsia="Times New Roman" w:cs="Times New Roman"/>
          <w:lang w:val="en-US" w:eastAsia="en-GB"/>
        </w:rPr>
        <w:t>t</w:t>
      </w:r>
      <w:r w:rsidRPr="00C851EE">
        <w:rPr>
          <w:rFonts w:eastAsia="Times New Roman" w:cs="Times New Roman"/>
          <w:lang w:val="en-US" w:eastAsia="en-GB"/>
        </w:rPr>
        <w:t xml:space="preserve"> that no one person c</w:t>
      </w:r>
      <w:r>
        <w:rPr>
          <w:rFonts w:eastAsia="Times New Roman" w:cs="Times New Roman"/>
          <w:lang w:val="en-US" w:eastAsia="en-GB"/>
        </w:rPr>
        <w:t>ould follow</w:t>
      </w:r>
      <w:r w:rsidRPr="00C851EE">
        <w:rPr>
          <w:rFonts w:eastAsia="Times New Roman" w:cs="Times New Roman"/>
          <w:lang w:val="en-US" w:eastAsia="en-GB"/>
        </w:rPr>
        <w:t xml:space="preserve"> all the topics covered, and this </w:t>
      </w:r>
      <w:r>
        <w:rPr>
          <w:rFonts w:eastAsia="Times New Roman" w:cs="Times New Roman"/>
          <w:lang w:val="en-US" w:eastAsia="en-GB"/>
        </w:rPr>
        <w:t xml:space="preserve">summary </w:t>
      </w:r>
      <w:r w:rsidRPr="00C851EE">
        <w:rPr>
          <w:rFonts w:eastAsia="Times New Roman" w:cs="Times New Roman"/>
          <w:lang w:val="en-US" w:eastAsia="en-GB"/>
        </w:rPr>
        <w:t>is necessarily b</w:t>
      </w:r>
      <w:r>
        <w:rPr>
          <w:rFonts w:eastAsia="Times New Roman" w:cs="Times New Roman"/>
          <w:lang w:val="en-US" w:eastAsia="en-GB"/>
        </w:rPr>
        <w:t xml:space="preserve">rief. For a broader overview see </w:t>
      </w:r>
      <w:r w:rsidRPr="00C851EE">
        <w:rPr>
          <w:rFonts w:eastAsia="Times New Roman" w:cs="Times New Roman"/>
          <w:i/>
          <w:lang w:val="en-US" w:eastAsia="en-GB"/>
        </w:rPr>
        <w:t xml:space="preserve">MPA News </w:t>
      </w:r>
      <w:r w:rsidRPr="00C851EE">
        <w:rPr>
          <w:rFonts w:eastAsia="Times New Roman" w:cs="Times New Roman"/>
          <w:lang w:val="en-US" w:eastAsia="en-GB"/>
        </w:rPr>
        <w:t xml:space="preserve">16(2) Nov/Dec 2014 </w:t>
      </w:r>
      <w:hyperlink r:id="rId7" w:history="1">
        <w:r w:rsidRPr="00C851EE">
          <w:rPr>
            <w:rStyle w:val="Hyperlink"/>
            <w:rFonts w:eastAsia="Times New Roman" w:cs="Times New Roman"/>
            <w:lang w:val="en-US" w:eastAsia="en-GB"/>
          </w:rPr>
          <w:t>http://depts.washington.edu/mpanews/MPA140.pdf</w:t>
        </w:r>
      </w:hyperlink>
      <w:r w:rsidRPr="00C851EE">
        <w:rPr>
          <w:rFonts w:eastAsia="Times New Roman" w:cs="Times New Roman"/>
          <w:lang w:val="en-US" w:eastAsia="en-GB"/>
        </w:rPr>
        <w:t xml:space="preserve">, and the recording of a </w:t>
      </w:r>
      <w:r w:rsidR="00FD024D">
        <w:rPr>
          <w:rFonts w:eastAsia="Times New Roman" w:cs="Times New Roman"/>
          <w:lang w:val="en-US" w:eastAsia="en-GB"/>
        </w:rPr>
        <w:t xml:space="preserve">WCPA-Marine </w:t>
      </w:r>
      <w:r w:rsidRPr="00C851EE">
        <w:rPr>
          <w:rFonts w:eastAsia="Times New Roman" w:cs="Times New Roman"/>
          <w:lang w:val="en-US" w:eastAsia="en-GB"/>
        </w:rPr>
        <w:t xml:space="preserve">webinar giving the key marine outcomes </w:t>
      </w:r>
      <w:hyperlink r:id="rId8" w:history="1">
        <w:r w:rsidRPr="00454243">
          <w:rPr>
            <w:rStyle w:val="Hyperlink"/>
            <w:rFonts w:eastAsia="Times New Roman" w:cs="Times New Roman"/>
            <w:lang w:val="en-US" w:eastAsia="en-GB"/>
          </w:rPr>
          <w:t>http://openchannels.org/webinars/2015/keeping-promise-sydney-next-steps-marine-agenda-world-parks-congress</w:t>
        </w:r>
      </w:hyperlink>
      <w:r w:rsidR="00211996">
        <w:rPr>
          <w:rFonts w:eastAsia="Times New Roman" w:cs="Times New Roman"/>
          <w:lang w:val="en-US" w:eastAsia="en-GB"/>
        </w:rPr>
        <w:t xml:space="preserve">.  </w:t>
      </w:r>
      <w:r w:rsidR="00211996" w:rsidRPr="00011D7B">
        <w:rPr>
          <w:rFonts w:eastAsia="Times New Roman" w:cs="Times New Roman"/>
          <w:lang w:val="en-US" w:eastAsia="en-GB"/>
        </w:rPr>
        <w:t xml:space="preserve">The cost of such congresses always biases participation to the more developed countries but the global coverage of issues at this WPC was good.  It was thus a real pity that there was such limited </w:t>
      </w:r>
      <w:r w:rsidR="00211996" w:rsidRPr="00011D7B">
        <w:t>participation by UK organisations working on MPAs and thus very little exposure of the work that is underway in our waters.  Ironically Cameron was attending the G20 in Brisbane at the same time – it would have been encouraging if one of his entourage could have made the short hop to Sydney!</w:t>
      </w:r>
    </w:p>
    <w:p w:rsidR="00211996" w:rsidRPr="00C851EE" w:rsidRDefault="00211996" w:rsidP="00CA3291">
      <w:pPr>
        <w:shd w:val="clear" w:color="auto" w:fill="FFFFFF"/>
        <w:spacing w:after="0" w:line="240" w:lineRule="auto"/>
        <w:rPr>
          <w:rFonts w:eastAsia="Times New Roman" w:cs="Times New Roman"/>
          <w:lang w:val="en-US" w:eastAsia="en-GB"/>
        </w:rPr>
      </w:pPr>
    </w:p>
    <w:p w:rsidR="00F876A3" w:rsidRPr="00011D7B" w:rsidRDefault="00F876A3" w:rsidP="00CA3291">
      <w:pPr>
        <w:spacing w:after="0" w:line="240" w:lineRule="auto"/>
        <w:rPr>
          <w:rFonts w:eastAsia="Times New Roman" w:cs="Times New Roman"/>
          <w:b/>
          <w:sz w:val="24"/>
          <w:szCs w:val="24"/>
          <w:lang w:val="en-US" w:eastAsia="en-GB"/>
        </w:rPr>
      </w:pPr>
      <w:r w:rsidRPr="00011D7B">
        <w:rPr>
          <w:rFonts w:eastAsia="Times New Roman" w:cs="Times New Roman"/>
          <w:b/>
          <w:sz w:val="24"/>
          <w:szCs w:val="24"/>
          <w:lang w:val="en-US" w:eastAsia="en-GB"/>
        </w:rPr>
        <w:t>Targets for protected area coverage</w:t>
      </w:r>
    </w:p>
    <w:p w:rsidR="006136BB" w:rsidRDefault="006136BB" w:rsidP="00CA3291">
      <w:pPr>
        <w:spacing w:after="0" w:line="240" w:lineRule="auto"/>
        <w:rPr>
          <w:rFonts w:eastAsia="Times New Roman" w:cs="Times New Roman"/>
          <w:sz w:val="20"/>
          <w:szCs w:val="20"/>
          <w:lang w:val="en-US" w:eastAsia="en-GB"/>
        </w:rPr>
      </w:pPr>
    </w:p>
    <w:p w:rsidR="00D10FBB" w:rsidRPr="00011D7B" w:rsidRDefault="00F876A3" w:rsidP="00CA3291">
      <w:pPr>
        <w:spacing w:after="0" w:line="240" w:lineRule="auto"/>
        <w:rPr>
          <w:rFonts w:eastAsia="Times New Roman" w:cs="Times New Roman"/>
          <w:lang w:val="en-NZ" w:eastAsia="en-GB"/>
        </w:rPr>
      </w:pPr>
      <w:r w:rsidRPr="00011D7B">
        <w:rPr>
          <w:rFonts w:eastAsia="Times New Roman" w:cs="Times New Roman"/>
          <w:lang w:val="en-US" w:eastAsia="en-GB"/>
        </w:rPr>
        <w:t xml:space="preserve">The Aichi </w:t>
      </w:r>
      <w:r w:rsidR="00007270" w:rsidRPr="00011D7B">
        <w:rPr>
          <w:rFonts w:eastAsia="Times New Roman" w:cs="Times New Roman"/>
          <w:lang w:val="en-US" w:eastAsia="en-GB"/>
        </w:rPr>
        <w:t xml:space="preserve">and other </w:t>
      </w:r>
      <w:r w:rsidRPr="00011D7B">
        <w:rPr>
          <w:rFonts w:eastAsia="Times New Roman" w:cs="Times New Roman"/>
          <w:lang w:val="en-US" w:eastAsia="en-GB"/>
        </w:rPr>
        <w:t xml:space="preserve">targets were </w:t>
      </w:r>
      <w:r w:rsidR="00D10FBB" w:rsidRPr="00011D7B">
        <w:rPr>
          <w:rFonts w:eastAsia="Times New Roman" w:cs="Times New Roman"/>
          <w:lang w:val="en-US" w:eastAsia="en-GB"/>
        </w:rPr>
        <w:t>one</w:t>
      </w:r>
      <w:r w:rsidRPr="00011D7B">
        <w:rPr>
          <w:rFonts w:eastAsia="Times New Roman" w:cs="Times New Roman"/>
          <w:lang w:val="en-US" w:eastAsia="en-GB"/>
        </w:rPr>
        <w:t xml:space="preserve"> inevitable focus of the </w:t>
      </w:r>
      <w:r w:rsidR="00D10FBB" w:rsidRPr="00011D7B">
        <w:rPr>
          <w:rFonts w:eastAsia="Times New Roman" w:cs="Times New Roman"/>
          <w:lang w:val="en-US" w:eastAsia="en-GB"/>
        </w:rPr>
        <w:t>WPC</w:t>
      </w:r>
      <w:r w:rsidR="00007270" w:rsidRPr="00011D7B">
        <w:rPr>
          <w:rFonts w:eastAsia="Times New Roman" w:cs="Times New Roman"/>
          <w:lang w:val="en-US" w:eastAsia="en-GB"/>
        </w:rPr>
        <w:t xml:space="preserve">, and </w:t>
      </w:r>
      <w:r w:rsidR="00211996">
        <w:rPr>
          <w:rFonts w:eastAsia="Times New Roman" w:cs="Times New Roman"/>
          <w:lang w:val="en-US" w:eastAsia="en-GB"/>
        </w:rPr>
        <w:t xml:space="preserve">were </w:t>
      </w:r>
      <w:r w:rsidR="00007270" w:rsidRPr="00011D7B">
        <w:rPr>
          <w:rFonts w:eastAsia="Times New Roman" w:cs="Times New Roman"/>
          <w:lang w:val="en-US" w:eastAsia="en-GB"/>
        </w:rPr>
        <w:t>much debated by the marine community</w:t>
      </w:r>
      <w:r w:rsidRPr="00011D7B">
        <w:rPr>
          <w:rFonts w:eastAsia="Times New Roman" w:cs="Times New Roman"/>
          <w:lang w:val="en-US" w:eastAsia="en-GB"/>
        </w:rPr>
        <w:t xml:space="preserve">. </w:t>
      </w:r>
      <w:r w:rsidR="00181728" w:rsidRPr="00011D7B">
        <w:rPr>
          <w:rFonts w:eastAsia="Times New Roman" w:cs="Times New Roman"/>
          <w:lang w:val="en-US" w:eastAsia="en-GB"/>
        </w:rPr>
        <w:t>Since the last WPC in Durban, South Africa, 2003, global cover</w:t>
      </w:r>
      <w:r w:rsidR="005F6149" w:rsidRPr="00011D7B">
        <w:rPr>
          <w:rFonts w:eastAsia="Times New Roman" w:cs="Times New Roman"/>
          <w:lang w:val="en-US" w:eastAsia="en-GB"/>
        </w:rPr>
        <w:t>age of</w:t>
      </w:r>
      <w:r w:rsidR="00181728" w:rsidRPr="00011D7B">
        <w:rPr>
          <w:rFonts w:eastAsia="Times New Roman" w:cs="Times New Roman"/>
          <w:lang w:val="en-US" w:eastAsia="en-GB"/>
        </w:rPr>
        <w:t xml:space="preserve"> protected areas has doubled</w:t>
      </w:r>
      <w:r w:rsidRPr="00011D7B">
        <w:rPr>
          <w:rFonts w:eastAsia="Times New Roman" w:cs="Times New Roman"/>
          <w:lang w:val="en-US" w:eastAsia="en-GB"/>
        </w:rPr>
        <w:t xml:space="preserve"> and </w:t>
      </w:r>
      <w:r w:rsidR="00181728" w:rsidRPr="00011D7B">
        <w:rPr>
          <w:rFonts w:eastAsia="Times New Roman" w:cs="Times New Roman"/>
          <w:lang w:val="en-US" w:eastAsia="en-GB"/>
        </w:rPr>
        <w:t xml:space="preserve">the biggest increase </w:t>
      </w:r>
      <w:r w:rsidRPr="00011D7B">
        <w:rPr>
          <w:rFonts w:eastAsia="Times New Roman" w:cs="Times New Roman"/>
          <w:lang w:val="en-US" w:eastAsia="en-GB"/>
        </w:rPr>
        <w:t>has been</w:t>
      </w:r>
      <w:r w:rsidR="00181728" w:rsidRPr="00011D7B">
        <w:rPr>
          <w:rFonts w:eastAsia="Times New Roman" w:cs="Times New Roman"/>
          <w:lang w:val="en-US" w:eastAsia="en-GB"/>
        </w:rPr>
        <w:t xml:space="preserve"> in MPAs.  </w:t>
      </w:r>
      <w:r w:rsidRPr="00011D7B">
        <w:rPr>
          <w:rFonts w:eastAsia="Times New Roman" w:cs="Times New Roman"/>
          <w:lang w:val="en-US" w:eastAsia="en-GB"/>
        </w:rPr>
        <w:t>MPAs</w:t>
      </w:r>
      <w:r w:rsidR="00075E49" w:rsidRPr="00011D7B">
        <w:rPr>
          <w:rFonts w:ascii="Calibri" w:hAnsi="Calibri"/>
          <w:lang w:val="en-NZ"/>
        </w:rPr>
        <w:t xml:space="preserve"> now cover 3.4 % of the oceans and 8.4% of all marine areas within national jurisdiction (compared to 15.4% of the planet’s terrestrial and inland water areas). However, only 0.25% of marine areas beyond national jurisdiction are protected. </w:t>
      </w:r>
      <w:r w:rsidR="00007270" w:rsidRPr="00011D7B">
        <w:rPr>
          <w:rFonts w:ascii="Calibri" w:hAnsi="Calibri"/>
          <w:lang w:val="en-NZ"/>
        </w:rPr>
        <w:t xml:space="preserve"> Aichi Target 11 calls for 10% protection of the oceans by 2020</w:t>
      </w:r>
      <w:r w:rsidR="00D10FBB" w:rsidRPr="00011D7B">
        <w:rPr>
          <w:rFonts w:ascii="Calibri" w:hAnsi="Calibri"/>
          <w:lang w:val="en-NZ"/>
        </w:rPr>
        <w:t>. However, a</w:t>
      </w:r>
      <w:r w:rsidR="00007270" w:rsidRPr="00011D7B">
        <w:rPr>
          <w:rFonts w:ascii="Calibri" w:hAnsi="Calibri"/>
          <w:lang w:val="en-NZ"/>
        </w:rPr>
        <w:t xml:space="preserve"> non-binding recommendation from the </w:t>
      </w:r>
      <w:r w:rsidR="00D10FBB" w:rsidRPr="00011D7B">
        <w:rPr>
          <w:rFonts w:ascii="Calibri" w:hAnsi="Calibri"/>
          <w:lang w:val="en-NZ"/>
        </w:rPr>
        <w:t>previous 2003</w:t>
      </w:r>
      <w:r w:rsidR="00007270" w:rsidRPr="00011D7B">
        <w:rPr>
          <w:rFonts w:ascii="Calibri" w:hAnsi="Calibri"/>
          <w:lang w:val="en-NZ"/>
        </w:rPr>
        <w:t xml:space="preserve"> WPC </w:t>
      </w:r>
      <w:r w:rsidR="00D10FBB" w:rsidRPr="00011D7B">
        <w:rPr>
          <w:rFonts w:ascii="Calibri" w:hAnsi="Calibri"/>
          <w:lang w:val="en-NZ"/>
        </w:rPr>
        <w:t>called for</w:t>
      </w:r>
      <w:r w:rsidR="00007270" w:rsidRPr="00011D7B">
        <w:rPr>
          <w:rFonts w:ascii="Calibri" w:hAnsi="Calibri"/>
          <w:lang w:val="en-NZ"/>
        </w:rPr>
        <w:t xml:space="preserve"> 30% protection </w:t>
      </w:r>
      <w:r w:rsidR="00D10FBB" w:rsidRPr="00011D7B">
        <w:rPr>
          <w:rFonts w:ascii="Calibri" w:hAnsi="Calibri"/>
          <w:lang w:val="en-NZ"/>
        </w:rPr>
        <w:t xml:space="preserve">of the oceans </w:t>
      </w:r>
      <w:r w:rsidR="00007270" w:rsidRPr="00011D7B">
        <w:rPr>
          <w:rFonts w:ascii="Calibri" w:hAnsi="Calibri"/>
          <w:lang w:val="en-NZ"/>
        </w:rPr>
        <w:t>in no-take areas</w:t>
      </w:r>
      <w:r w:rsidR="00D10FBB" w:rsidRPr="00011D7B">
        <w:rPr>
          <w:rFonts w:ascii="Calibri" w:hAnsi="Calibri"/>
          <w:lang w:val="en-NZ"/>
        </w:rPr>
        <w:t xml:space="preserve"> and, a</w:t>
      </w:r>
      <w:r w:rsidR="00007270" w:rsidRPr="00011D7B">
        <w:rPr>
          <w:rFonts w:ascii="Calibri" w:hAnsi="Calibri"/>
          <w:lang w:val="en-NZ"/>
        </w:rPr>
        <w:t xml:space="preserve">fter much discussion, </w:t>
      </w:r>
      <w:r w:rsidR="00D10FBB" w:rsidRPr="00011D7B">
        <w:rPr>
          <w:rFonts w:ascii="Calibri" w:hAnsi="Calibri"/>
          <w:lang w:val="en-NZ"/>
        </w:rPr>
        <w:t xml:space="preserve">it was felt that this target should be </w:t>
      </w:r>
      <w:r w:rsidR="00007270" w:rsidRPr="00011D7B">
        <w:rPr>
          <w:rFonts w:ascii="Calibri" w:hAnsi="Calibri"/>
          <w:lang w:val="en-NZ"/>
        </w:rPr>
        <w:t xml:space="preserve">carried through into the </w:t>
      </w:r>
      <w:r w:rsidR="00C9147F" w:rsidRPr="00011D7B">
        <w:rPr>
          <w:rFonts w:ascii="Calibri" w:hAnsi="Calibri"/>
          <w:lang w:val="en-NZ"/>
        </w:rPr>
        <w:t xml:space="preserve">marine </w:t>
      </w:r>
      <w:r w:rsidR="00007270" w:rsidRPr="00011D7B">
        <w:rPr>
          <w:rFonts w:ascii="Calibri" w:hAnsi="Calibri"/>
          <w:lang w:val="en-NZ"/>
        </w:rPr>
        <w:t>recommendations</w:t>
      </w:r>
      <w:r w:rsidR="003B6FC7">
        <w:rPr>
          <w:rFonts w:ascii="Calibri" w:hAnsi="Calibri"/>
          <w:lang w:val="en-NZ"/>
        </w:rPr>
        <w:t xml:space="preserve"> from </w:t>
      </w:r>
      <w:proofErr w:type="spellStart"/>
      <w:r w:rsidR="003B6FC7">
        <w:rPr>
          <w:rFonts w:ascii="Calibri" w:hAnsi="Calibri"/>
          <w:lang w:val="en-NZ"/>
        </w:rPr>
        <w:t>Syndey</w:t>
      </w:r>
      <w:proofErr w:type="spellEnd"/>
      <w:r w:rsidR="00D10FBB" w:rsidRPr="00011D7B">
        <w:rPr>
          <w:rFonts w:ascii="Calibri" w:hAnsi="Calibri"/>
          <w:lang w:val="en-NZ"/>
        </w:rPr>
        <w:t>.  The marine community has yet to reach consensus on t</w:t>
      </w:r>
      <w:r w:rsidR="00211996">
        <w:rPr>
          <w:rFonts w:ascii="Calibri" w:hAnsi="Calibri"/>
          <w:lang w:val="en-NZ"/>
        </w:rPr>
        <w:t>his</w:t>
      </w:r>
      <w:r w:rsidR="00D10FBB" w:rsidRPr="00011D7B">
        <w:rPr>
          <w:rFonts w:ascii="Calibri" w:hAnsi="Calibri"/>
          <w:lang w:val="en-NZ"/>
        </w:rPr>
        <w:t xml:space="preserve"> – </w:t>
      </w:r>
      <w:r w:rsidR="00211996">
        <w:rPr>
          <w:rFonts w:ascii="Calibri" w:hAnsi="Calibri"/>
          <w:lang w:val="en-NZ"/>
        </w:rPr>
        <w:t>while</w:t>
      </w:r>
      <w:r w:rsidR="00D10FBB" w:rsidRPr="00011D7B">
        <w:rPr>
          <w:rFonts w:ascii="Calibri" w:hAnsi="Calibri"/>
          <w:lang w:val="en-NZ"/>
        </w:rPr>
        <w:t xml:space="preserve"> many </w:t>
      </w:r>
      <w:r w:rsidR="00211996">
        <w:rPr>
          <w:rFonts w:ascii="Calibri" w:hAnsi="Calibri"/>
          <w:lang w:val="en-NZ"/>
        </w:rPr>
        <w:t xml:space="preserve">are </w:t>
      </w:r>
      <w:r w:rsidR="00D10FBB" w:rsidRPr="00011D7B">
        <w:rPr>
          <w:rFonts w:ascii="Calibri" w:hAnsi="Calibri"/>
          <w:lang w:val="en-NZ"/>
        </w:rPr>
        <w:t xml:space="preserve">calling for the </w:t>
      </w:r>
      <w:r w:rsidR="00211996">
        <w:rPr>
          <w:rFonts w:ascii="Calibri" w:hAnsi="Calibri"/>
          <w:lang w:val="en-NZ"/>
        </w:rPr>
        <w:t>more ambitious</w:t>
      </w:r>
      <w:r w:rsidR="00D10FBB" w:rsidRPr="00011D7B">
        <w:rPr>
          <w:rFonts w:ascii="Calibri" w:hAnsi="Calibri"/>
          <w:lang w:val="en-NZ"/>
        </w:rPr>
        <w:t xml:space="preserve"> target, reflecting the urging by some NGOs for much greater protected area coverage in general</w:t>
      </w:r>
      <w:r w:rsidR="00C9147F" w:rsidRPr="00011D7B">
        <w:rPr>
          <w:rFonts w:ascii="Calibri" w:hAnsi="Calibri"/>
          <w:lang w:val="en-NZ"/>
        </w:rPr>
        <w:t xml:space="preserve"> </w:t>
      </w:r>
      <w:r w:rsidR="00D10FBB" w:rsidRPr="00011D7B">
        <w:rPr>
          <w:rFonts w:ascii="Calibri" w:hAnsi="Calibri"/>
          <w:lang w:val="en-NZ"/>
        </w:rPr>
        <w:t xml:space="preserve">(e.g. </w:t>
      </w:r>
      <w:r w:rsidR="00C9147F" w:rsidRPr="00011D7B">
        <w:rPr>
          <w:lang w:val="en-NZ"/>
        </w:rPr>
        <w:t xml:space="preserve">see </w:t>
      </w:r>
      <w:hyperlink r:id="rId9" w:history="1">
        <w:r w:rsidR="00211996" w:rsidRPr="00454243">
          <w:rPr>
            <w:rStyle w:val="Hyperlink"/>
            <w:lang w:val="en-NZ"/>
          </w:rPr>
          <w:t>www.natureneedshalf.org</w:t>
        </w:r>
      </w:hyperlink>
      <w:r w:rsidR="00D10FBB" w:rsidRPr="00011D7B">
        <w:rPr>
          <w:rFonts w:eastAsia="Times New Roman" w:cs="Times New Roman"/>
          <w:lang w:val="en-NZ" w:eastAsia="en-GB"/>
        </w:rPr>
        <w:t xml:space="preserve">), others </w:t>
      </w:r>
      <w:r w:rsidR="00211996">
        <w:rPr>
          <w:rFonts w:eastAsia="Times New Roman" w:cs="Times New Roman"/>
          <w:lang w:val="en-NZ" w:eastAsia="en-GB"/>
        </w:rPr>
        <w:t xml:space="preserve">are </w:t>
      </w:r>
      <w:r w:rsidR="00D10FBB" w:rsidRPr="00011D7B">
        <w:rPr>
          <w:rFonts w:eastAsia="Times New Roman" w:cs="Times New Roman"/>
          <w:lang w:val="en-NZ" w:eastAsia="en-GB"/>
        </w:rPr>
        <w:t>concerned that such an approach will further antagonise those who depend on marine resources for their livelihoods.</w:t>
      </w:r>
    </w:p>
    <w:p w:rsidR="00A74785" w:rsidRPr="00011D7B" w:rsidRDefault="00D10FBB" w:rsidP="00CA3291">
      <w:pPr>
        <w:spacing w:after="0" w:line="240" w:lineRule="auto"/>
        <w:rPr>
          <w:color w:val="0000FF" w:themeColor="hyperlink"/>
          <w:u w:val="single"/>
          <w:lang w:val="en-NZ"/>
        </w:rPr>
      </w:pPr>
      <w:r w:rsidRPr="00011D7B">
        <w:rPr>
          <w:rFonts w:eastAsia="Times New Roman" w:cs="Times New Roman"/>
          <w:lang w:val="en-NZ" w:eastAsia="en-GB"/>
        </w:rPr>
        <w:t xml:space="preserve"> </w:t>
      </w:r>
    </w:p>
    <w:p w:rsidR="004F0A00" w:rsidRPr="00011D7B" w:rsidRDefault="004F0A00" w:rsidP="004F0A00">
      <w:pPr>
        <w:autoSpaceDE w:val="0"/>
        <w:autoSpaceDN w:val="0"/>
        <w:adjustRightInd w:val="0"/>
        <w:spacing w:after="0" w:line="240" w:lineRule="auto"/>
        <w:rPr>
          <w:rFonts w:cs="AGaramondPro-Regular"/>
        </w:rPr>
      </w:pPr>
      <w:r w:rsidRPr="00011D7B">
        <w:rPr>
          <w:rFonts w:eastAsia="Times New Roman" w:cs="Times New Roman"/>
          <w:lang w:val="en-NZ" w:eastAsia="en-GB"/>
        </w:rPr>
        <w:t>There was a</w:t>
      </w:r>
      <w:r w:rsidR="00366F07" w:rsidRPr="00011D7B">
        <w:rPr>
          <w:rFonts w:eastAsia="Times New Roman" w:cs="Times New Roman"/>
          <w:lang w:val="en-NZ" w:eastAsia="en-GB"/>
        </w:rPr>
        <w:t xml:space="preserve">lso much discussion </w:t>
      </w:r>
      <w:r w:rsidR="00211996">
        <w:rPr>
          <w:rFonts w:eastAsia="Times New Roman" w:cs="Times New Roman"/>
          <w:lang w:val="en-NZ" w:eastAsia="en-GB"/>
        </w:rPr>
        <w:t>about</w:t>
      </w:r>
      <w:r w:rsidR="00366F07" w:rsidRPr="00011D7B">
        <w:rPr>
          <w:rFonts w:eastAsia="Times New Roman" w:cs="Times New Roman"/>
          <w:lang w:val="en-NZ" w:eastAsia="en-GB"/>
        </w:rPr>
        <w:t xml:space="preserve"> </w:t>
      </w:r>
      <w:r w:rsidRPr="00011D7B">
        <w:rPr>
          <w:rFonts w:eastAsia="Times New Roman" w:cs="Times New Roman"/>
          <w:lang w:val="en-NZ" w:eastAsia="en-GB"/>
        </w:rPr>
        <w:t xml:space="preserve">the </w:t>
      </w:r>
      <w:r w:rsidR="00366F07" w:rsidRPr="00011D7B">
        <w:rPr>
          <w:rFonts w:eastAsia="Times New Roman" w:cs="Times New Roman"/>
          <w:lang w:val="en-NZ" w:eastAsia="en-GB"/>
        </w:rPr>
        <w:t>role and effectiveness of very large MPAs</w:t>
      </w:r>
      <w:r w:rsidR="00A74785" w:rsidRPr="00011D7B">
        <w:rPr>
          <w:rFonts w:eastAsia="Times New Roman" w:cs="Times New Roman"/>
          <w:lang w:val="en-NZ" w:eastAsia="en-GB"/>
        </w:rPr>
        <w:t xml:space="preserve"> v</w:t>
      </w:r>
      <w:r w:rsidRPr="00011D7B">
        <w:rPr>
          <w:rFonts w:eastAsia="Times New Roman" w:cs="Times New Roman"/>
          <w:lang w:val="en-NZ" w:eastAsia="en-GB"/>
        </w:rPr>
        <w:t>ersu</w:t>
      </w:r>
      <w:r w:rsidR="00A74785" w:rsidRPr="00011D7B">
        <w:rPr>
          <w:rFonts w:eastAsia="Times New Roman" w:cs="Times New Roman"/>
          <w:lang w:val="en-NZ" w:eastAsia="en-GB"/>
        </w:rPr>
        <w:t>s smaller ones</w:t>
      </w:r>
      <w:r w:rsidRPr="00011D7B">
        <w:rPr>
          <w:rFonts w:eastAsia="Times New Roman" w:cs="Times New Roman"/>
          <w:lang w:val="en-NZ" w:eastAsia="en-GB"/>
        </w:rPr>
        <w:t>, not to mention the confusion that can arise when statistics for all types of MPAs are amalgamated.</w:t>
      </w:r>
      <w:r w:rsidR="00A74785" w:rsidRPr="00011D7B">
        <w:rPr>
          <w:rFonts w:eastAsia="Times New Roman" w:cs="Times New Roman"/>
          <w:lang w:val="en-NZ" w:eastAsia="en-GB"/>
        </w:rPr>
        <w:t xml:space="preserve"> </w:t>
      </w:r>
      <w:r w:rsidR="00EF01E2">
        <w:rPr>
          <w:rFonts w:eastAsia="Times New Roman" w:cs="Times New Roman"/>
          <w:lang w:val="en-NZ" w:eastAsia="en-GB"/>
        </w:rPr>
        <w:t xml:space="preserve"> For example, a</w:t>
      </w:r>
      <w:r w:rsidRPr="00011D7B">
        <w:rPr>
          <w:rFonts w:cs="AGaramondPro-Regular"/>
        </w:rPr>
        <w:t xml:space="preserve"> report by the US-based Marine Conservation</w:t>
      </w:r>
      <w:r w:rsidR="003B6FC7">
        <w:rPr>
          <w:rFonts w:cs="AGaramondPro-Regular"/>
        </w:rPr>
        <w:t xml:space="preserve"> Institute</w:t>
      </w:r>
      <w:r w:rsidRPr="00011D7B">
        <w:rPr>
          <w:rFonts w:cs="AGaramondPro-Regular"/>
        </w:rPr>
        <w:t xml:space="preserve"> (</w:t>
      </w:r>
      <w:hyperlink r:id="rId10" w:history="1">
        <w:r w:rsidR="00211996" w:rsidRPr="00454243">
          <w:rPr>
            <w:rStyle w:val="Hyperlink"/>
            <w:rFonts w:cs="OpenSans-Identity-H"/>
          </w:rPr>
          <w:t>www.marine-conservation.org/seastates/g20/2014</w:t>
        </w:r>
      </w:hyperlink>
      <w:r w:rsidRPr="00011D7B">
        <w:rPr>
          <w:rFonts w:cs="OpenSans-Identity-H"/>
          <w:color w:val="0045D7"/>
        </w:rPr>
        <w:t xml:space="preserve">) </w:t>
      </w:r>
      <w:r w:rsidR="00EF01E2">
        <w:rPr>
          <w:rFonts w:cs="AGaramondPro-Regular"/>
        </w:rPr>
        <w:t xml:space="preserve">on </w:t>
      </w:r>
      <w:r w:rsidRPr="00011D7B">
        <w:rPr>
          <w:rFonts w:cs="AGaramondPro-Regular"/>
        </w:rPr>
        <w:t xml:space="preserve">the </w:t>
      </w:r>
      <w:r w:rsidR="00EF01E2">
        <w:rPr>
          <w:rFonts w:cs="AGaramondPro-Regular"/>
        </w:rPr>
        <w:t xml:space="preserve">G20 </w:t>
      </w:r>
      <w:r w:rsidRPr="00011D7B">
        <w:rPr>
          <w:rFonts w:cs="AGaramondPro-Regular"/>
        </w:rPr>
        <w:t xml:space="preserve">countries </w:t>
      </w:r>
      <w:r w:rsidR="00EF01E2">
        <w:rPr>
          <w:rFonts w:cs="AGaramondPro-Regular"/>
        </w:rPr>
        <w:t xml:space="preserve">(i.e. those </w:t>
      </w:r>
      <w:r w:rsidRPr="00011D7B">
        <w:rPr>
          <w:rFonts w:cs="AGaramondPro-Regular"/>
        </w:rPr>
        <w:t>with the 20 largest economies in the world</w:t>
      </w:r>
      <w:r w:rsidR="00EF01E2">
        <w:rPr>
          <w:rFonts w:cs="AGaramondPro-Regular"/>
        </w:rPr>
        <w:t>)</w:t>
      </w:r>
      <w:r w:rsidRPr="00011D7B">
        <w:rPr>
          <w:rFonts w:cs="AGaramondPro-Regular"/>
        </w:rPr>
        <w:t xml:space="preserve"> compared the percentage of their national waters set aside in no-take </w:t>
      </w:r>
      <w:r w:rsidRPr="00011D7B">
        <w:rPr>
          <w:rFonts w:cs="AGaramondPro-Regular"/>
        </w:rPr>
        <w:lastRenderedPageBreak/>
        <w:t xml:space="preserve">areas.  The UK came out second on the list with 9.73% marine waters in no-take areas, after the US, due to the inclusion of </w:t>
      </w:r>
      <w:proofErr w:type="spellStart"/>
      <w:r w:rsidRPr="00011D7B">
        <w:rPr>
          <w:rFonts w:cs="AGaramondPro-Regular"/>
        </w:rPr>
        <w:t>Chagos</w:t>
      </w:r>
      <w:proofErr w:type="spellEnd"/>
      <w:r w:rsidRPr="00011D7B">
        <w:rPr>
          <w:rFonts w:cs="AGaramondPro-Regular"/>
        </w:rPr>
        <w:t xml:space="preserve"> in the statistics.  Fortunately the report also makes it clear what happens if </w:t>
      </w:r>
      <w:proofErr w:type="spellStart"/>
      <w:r w:rsidRPr="00011D7B">
        <w:rPr>
          <w:rFonts w:cs="AGaramondPro-Regular"/>
        </w:rPr>
        <w:t>Chagos</w:t>
      </w:r>
      <w:proofErr w:type="spellEnd"/>
      <w:r w:rsidRPr="00011D7B">
        <w:rPr>
          <w:rFonts w:cs="AGaramondPro-Regular"/>
        </w:rPr>
        <w:t xml:space="preserve"> is removed</w:t>
      </w:r>
      <w:r w:rsidR="00EF01E2">
        <w:rPr>
          <w:rFonts w:cs="AGaramondPro-Regular"/>
        </w:rPr>
        <w:t>, when</w:t>
      </w:r>
      <w:r w:rsidRPr="00011D7B">
        <w:rPr>
          <w:rFonts w:cs="AGaramondPro-Regular"/>
        </w:rPr>
        <w:t xml:space="preserve"> the UK falls to the bottom </w:t>
      </w:r>
      <w:r w:rsidR="00EF01E2">
        <w:rPr>
          <w:rFonts w:cs="AGaramondPro-Regular"/>
        </w:rPr>
        <w:t xml:space="preserve">of the list </w:t>
      </w:r>
      <w:r w:rsidRPr="00011D7B">
        <w:rPr>
          <w:rFonts w:cs="AGaramondPro-Regular"/>
        </w:rPr>
        <w:t xml:space="preserve">along with Argentina and Japan. </w:t>
      </w:r>
    </w:p>
    <w:p w:rsidR="00211996" w:rsidRDefault="00211996" w:rsidP="00CA3291">
      <w:pPr>
        <w:spacing w:after="0" w:line="240" w:lineRule="auto"/>
        <w:rPr>
          <w:rFonts w:eastAsia="Times New Roman" w:cs="Times New Roman"/>
          <w:b/>
          <w:sz w:val="24"/>
          <w:szCs w:val="24"/>
          <w:lang w:val="en-NZ" w:eastAsia="en-GB"/>
        </w:rPr>
      </w:pPr>
    </w:p>
    <w:p w:rsidR="00F876A3" w:rsidRPr="00011D7B" w:rsidRDefault="00F876A3" w:rsidP="00CA3291">
      <w:pPr>
        <w:spacing w:after="0" w:line="240" w:lineRule="auto"/>
        <w:rPr>
          <w:rFonts w:eastAsia="Times New Roman" w:cs="Times New Roman"/>
          <w:b/>
          <w:sz w:val="24"/>
          <w:szCs w:val="24"/>
          <w:lang w:val="en-NZ" w:eastAsia="en-GB"/>
        </w:rPr>
      </w:pPr>
      <w:r w:rsidRPr="00011D7B">
        <w:rPr>
          <w:rFonts w:eastAsia="Times New Roman" w:cs="Times New Roman"/>
          <w:b/>
          <w:sz w:val="24"/>
          <w:szCs w:val="24"/>
          <w:lang w:val="en-NZ" w:eastAsia="en-GB"/>
        </w:rPr>
        <w:t>Management effectiveness</w:t>
      </w:r>
    </w:p>
    <w:p w:rsidR="006136BB" w:rsidRDefault="006136BB" w:rsidP="00CA3291">
      <w:pPr>
        <w:spacing w:after="0" w:line="240" w:lineRule="auto"/>
        <w:rPr>
          <w:rFonts w:eastAsia="Times New Roman" w:cs="Times New Roman"/>
          <w:sz w:val="20"/>
          <w:szCs w:val="20"/>
          <w:lang w:val="en-US" w:eastAsia="en-GB"/>
        </w:rPr>
      </w:pPr>
    </w:p>
    <w:p w:rsidR="00FC4645" w:rsidRPr="00261F89" w:rsidRDefault="00007270" w:rsidP="00FC4645">
      <w:pPr>
        <w:autoSpaceDE w:val="0"/>
        <w:autoSpaceDN w:val="0"/>
        <w:adjustRightInd w:val="0"/>
        <w:spacing w:after="0" w:line="240" w:lineRule="auto"/>
      </w:pPr>
      <w:r w:rsidRPr="00261F89">
        <w:rPr>
          <w:rFonts w:eastAsia="Times New Roman" w:cs="Times New Roman"/>
          <w:lang w:val="en-US" w:eastAsia="en-GB"/>
        </w:rPr>
        <w:t xml:space="preserve">The </w:t>
      </w:r>
      <w:r w:rsidR="00257CC4" w:rsidRPr="00261F89">
        <w:rPr>
          <w:rFonts w:eastAsia="Times New Roman" w:cs="Times New Roman"/>
          <w:lang w:val="en-US" w:eastAsia="en-GB"/>
        </w:rPr>
        <w:t xml:space="preserve">progress made on </w:t>
      </w:r>
      <w:r w:rsidR="00257CC4" w:rsidRPr="00211996">
        <w:rPr>
          <w:rFonts w:eastAsia="Times New Roman" w:cs="Times New Roman"/>
          <w:i/>
          <w:lang w:val="en-US" w:eastAsia="en-GB"/>
        </w:rPr>
        <w:t>quantity</w:t>
      </w:r>
      <w:r w:rsidRPr="00211996">
        <w:rPr>
          <w:rFonts w:eastAsia="Times New Roman" w:cs="Times New Roman"/>
          <w:i/>
          <w:lang w:val="en-US" w:eastAsia="en-GB"/>
        </w:rPr>
        <w:t xml:space="preserve"> </w:t>
      </w:r>
      <w:r w:rsidRPr="00261F89">
        <w:rPr>
          <w:rFonts w:eastAsia="Times New Roman" w:cs="Times New Roman"/>
          <w:lang w:val="en-US" w:eastAsia="en-GB"/>
        </w:rPr>
        <w:t>(i.e. coverage of protected areas)</w:t>
      </w:r>
      <w:r w:rsidR="00257CC4" w:rsidRPr="00261F89">
        <w:rPr>
          <w:rFonts w:eastAsia="Times New Roman" w:cs="Times New Roman"/>
          <w:lang w:val="en-US" w:eastAsia="en-GB"/>
        </w:rPr>
        <w:t xml:space="preserve"> has meant that </w:t>
      </w:r>
      <w:r w:rsidR="00C9147F" w:rsidRPr="00261F89">
        <w:rPr>
          <w:rFonts w:eastAsia="Times New Roman" w:cs="Times New Roman"/>
          <w:lang w:val="en-US" w:eastAsia="en-GB"/>
        </w:rPr>
        <w:t xml:space="preserve">much greater </w:t>
      </w:r>
      <w:r w:rsidR="00181728" w:rsidRPr="00261F89">
        <w:rPr>
          <w:rFonts w:eastAsia="Times New Roman" w:cs="Times New Roman"/>
          <w:lang w:val="en-US" w:eastAsia="en-GB"/>
        </w:rPr>
        <w:t xml:space="preserve">attention </w:t>
      </w:r>
      <w:r w:rsidR="00C9147F" w:rsidRPr="00261F89">
        <w:rPr>
          <w:rFonts w:eastAsia="Times New Roman" w:cs="Times New Roman"/>
          <w:lang w:val="en-US" w:eastAsia="en-GB"/>
        </w:rPr>
        <w:t>is now being paid</w:t>
      </w:r>
      <w:r w:rsidR="00181728" w:rsidRPr="00261F89">
        <w:rPr>
          <w:rFonts w:eastAsia="Times New Roman" w:cs="Times New Roman"/>
          <w:lang w:val="en-US" w:eastAsia="en-GB"/>
        </w:rPr>
        <w:t xml:space="preserve"> to </w:t>
      </w:r>
      <w:r w:rsidR="00181728" w:rsidRPr="00211996">
        <w:rPr>
          <w:rFonts w:eastAsia="Times New Roman" w:cs="Times New Roman"/>
          <w:i/>
          <w:lang w:val="en-US" w:eastAsia="en-GB"/>
        </w:rPr>
        <w:t>quality</w:t>
      </w:r>
      <w:r w:rsidR="00C9147F" w:rsidRPr="00261F89">
        <w:rPr>
          <w:rFonts w:eastAsia="Times New Roman" w:cs="Times New Roman"/>
          <w:lang w:val="en-US" w:eastAsia="en-GB"/>
        </w:rPr>
        <w:t>.</w:t>
      </w:r>
      <w:r w:rsidR="00257CC4" w:rsidRPr="00261F89">
        <w:rPr>
          <w:rFonts w:eastAsia="Times New Roman" w:cs="Times New Roman"/>
          <w:lang w:val="en-US" w:eastAsia="en-GB"/>
        </w:rPr>
        <w:t xml:space="preserve"> </w:t>
      </w:r>
      <w:r w:rsidR="00AC7086" w:rsidRPr="00261F89">
        <w:rPr>
          <w:rFonts w:eastAsia="Times New Roman" w:cs="Times New Roman"/>
          <w:lang w:val="en-US" w:eastAsia="en-GB"/>
        </w:rPr>
        <w:t xml:space="preserve"> </w:t>
      </w:r>
      <w:r w:rsidR="00011D7B" w:rsidRPr="00261F89">
        <w:rPr>
          <w:rFonts w:eastAsia="Times New Roman" w:cs="Times New Roman"/>
          <w:lang w:val="en-US" w:eastAsia="en-GB"/>
        </w:rPr>
        <w:t>A</w:t>
      </w:r>
      <w:r w:rsidR="00211996">
        <w:rPr>
          <w:rFonts w:eastAsia="Times New Roman" w:cs="Times New Roman"/>
          <w:lang w:val="en-US" w:eastAsia="en-GB"/>
        </w:rPr>
        <w:t>nother</w:t>
      </w:r>
      <w:r w:rsidR="00011D7B" w:rsidRPr="00261F89">
        <w:rPr>
          <w:rFonts w:eastAsia="Times New Roman" w:cs="Times New Roman"/>
          <w:lang w:val="en-US" w:eastAsia="en-GB"/>
        </w:rPr>
        <w:t xml:space="preserve"> major theme of </w:t>
      </w:r>
      <w:r w:rsidR="00D10FBB" w:rsidRPr="00261F89">
        <w:rPr>
          <w:rFonts w:eastAsia="Times New Roman" w:cs="Times New Roman"/>
          <w:lang w:val="en-US" w:eastAsia="en-GB"/>
        </w:rPr>
        <w:t>the WPC was thus effective management</w:t>
      </w:r>
      <w:r w:rsidR="00261F89" w:rsidRPr="00261F89">
        <w:rPr>
          <w:rFonts w:eastAsia="Times New Roman" w:cs="Times New Roman"/>
          <w:lang w:val="en-US" w:eastAsia="en-GB"/>
        </w:rPr>
        <w:t xml:space="preserve">, recognizing that a sub-action of Aichi Target 11 is to </w:t>
      </w:r>
      <w:r w:rsidR="00261F89" w:rsidRPr="00261F89">
        <w:rPr>
          <w:rFonts w:ascii="Calibri" w:hAnsi="Calibri" w:cs="Calibri"/>
        </w:rPr>
        <w:t xml:space="preserve">assess 60% of all </w:t>
      </w:r>
      <w:proofErr w:type="gramStart"/>
      <w:r w:rsidR="00261F89" w:rsidRPr="00261F89">
        <w:rPr>
          <w:rFonts w:ascii="Calibri" w:hAnsi="Calibri" w:cs="Calibri"/>
        </w:rPr>
        <w:t>protected  areas</w:t>
      </w:r>
      <w:proofErr w:type="gramEnd"/>
      <w:r w:rsidR="00261F89" w:rsidRPr="00261F89">
        <w:rPr>
          <w:rFonts w:ascii="Calibri" w:hAnsi="Calibri" w:cs="Calibri"/>
        </w:rPr>
        <w:t xml:space="preserve"> by 2015 and ensure that the results of the assessments are implemented</w:t>
      </w:r>
      <w:r w:rsidR="00D10FBB" w:rsidRPr="00261F89">
        <w:rPr>
          <w:rFonts w:eastAsia="Times New Roman" w:cs="Times New Roman"/>
          <w:lang w:val="en-US" w:eastAsia="en-GB"/>
        </w:rPr>
        <w:t xml:space="preserve">. </w:t>
      </w:r>
      <w:r w:rsidR="00261F89" w:rsidRPr="00261F89">
        <w:rPr>
          <w:rFonts w:eastAsia="Times New Roman" w:cs="Times New Roman"/>
          <w:lang w:val="en-US" w:eastAsia="en-GB"/>
        </w:rPr>
        <w:t xml:space="preserve"> </w:t>
      </w:r>
      <w:r w:rsidR="00AC7086" w:rsidRPr="00261F89">
        <w:rPr>
          <w:rFonts w:eastAsia="Times New Roman" w:cs="Times New Roman"/>
          <w:lang w:val="en-US" w:eastAsia="en-GB"/>
        </w:rPr>
        <w:t xml:space="preserve">Stream 1 </w:t>
      </w:r>
      <w:r w:rsidR="00261F89" w:rsidRPr="00261F89">
        <w:rPr>
          <w:rFonts w:eastAsia="Times New Roman" w:cs="Times New Roman"/>
          <w:lang w:val="en-US" w:eastAsia="en-GB"/>
        </w:rPr>
        <w:t xml:space="preserve">of the WPC </w:t>
      </w:r>
      <w:r w:rsidR="00AC7086" w:rsidRPr="00261F89">
        <w:rPr>
          <w:rFonts w:eastAsia="Times New Roman" w:cs="Times New Roman"/>
          <w:lang w:val="en-US" w:eastAsia="en-GB"/>
        </w:rPr>
        <w:t>(Achieving Conservation Goals) came out with a strong statement that “</w:t>
      </w:r>
      <w:r w:rsidR="00AC7086" w:rsidRPr="00261F89">
        <w:rPr>
          <w:rFonts w:cs="Calibri"/>
        </w:rPr>
        <w:t>Protected area quality is more important than percentage targets: protected areas need to be managed effectively</w:t>
      </w:r>
      <w:r w:rsidR="003B6FC7">
        <w:rPr>
          <w:rFonts w:cs="Calibri"/>
        </w:rPr>
        <w:t>.”</w:t>
      </w:r>
      <w:r w:rsidR="00FC4645" w:rsidRPr="00261F89">
        <w:t xml:space="preserve">  </w:t>
      </w:r>
      <w:r w:rsidR="00FC4645">
        <w:t>As is the case with much of Europe, less than 10% of the UK’s protected areas have been assessed.</w:t>
      </w:r>
    </w:p>
    <w:p w:rsidR="00FC4645" w:rsidRDefault="00FC4645" w:rsidP="00261F89">
      <w:pPr>
        <w:autoSpaceDE w:val="0"/>
        <w:autoSpaceDN w:val="0"/>
        <w:adjustRightInd w:val="0"/>
        <w:spacing w:after="0" w:line="240" w:lineRule="auto"/>
      </w:pPr>
    </w:p>
    <w:p w:rsidR="00C9147F" w:rsidRPr="00261F89" w:rsidRDefault="00FC4645" w:rsidP="00261F89">
      <w:pPr>
        <w:autoSpaceDE w:val="0"/>
        <w:autoSpaceDN w:val="0"/>
        <w:adjustRightInd w:val="0"/>
        <w:spacing w:after="0" w:line="240" w:lineRule="auto"/>
      </w:pPr>
      <w:r>
        <w:t xml:space="preserve">Where management effectiveness and the biodiversity outcomes of protected areas have been assessed, the news was equally depressing. </w:t>
      </w:r>
      <w:r w:rsidRPr="00261F89">
        <w:t>Only about 25% of the protected areas that have been assessed are effectively managed and it is likely that if only MPAs are considered, the percentage would be even smaller.</w:t>
      </w:r>
      <w:r>
        <w:t xml:space="preserve">  </w:t>
      </w:r>
      <w:r w:rsidR="00AC7086" w:rsidRPr="00261F89">
        <w:t>The</w:t>
      </w:r>
      <w:r w:rsidR="00C9147F" w:rsidRPr="00261F89">
        <w:t xml:space="preserve">re were disturbing </w:t>
      </w:r>
      <w:r w:rsidR="00D3705B" w:rsidRPr="00261F89">
        <w:t>presentations</w:t>
      </w:r>
      <w:r w:rsidR="00C9147F" w:rsidRPr="00261F89">
        <w:t xml:space="preserve"> on the</w:t>
      </w:r>
      <w:r w:rsidR="00AC7086" w:rsidRPr="00261F89">
        <w:t xml:space="preserve"> largely unrecognized </w:t>
      </w:r>
      <w:r w:rsidR="00942AF0" w:rsidRPr="00261F89">
        <w:t xml:space="preserve">“protected area </w:t>
      </w:r>
      <w:r w:rsidR="00AC7086" w:rsidRPr="00261F89">
        <w:t xml:space="preserve">downgrading, downsizing, and </w:t>
      </w:r>
      <w:proofErr w:type="spellStart"/>
      <w:r w:rsidR="00AC7086" w:rsidRPr="00261F89">
        <w:t>degazettement</w:t>
      </w:r>
      <w:proofErr w:type="spellEnd"/>
      <w:r w:rsidR="00942AF0" w:rsidRPr="00261F89">
        <w:t xml:space="preserve">” (PADDD: </w:t>
      </w:r>
      <w:hyperlink r:id="rId11" w:history="1">
        <w:r w:rsidR="00942AF0" w:rsidRPr="00261F89">
          <w:rPr>
            <w:rStyle w:val="Hyperlink"/>
          </w:rPr>
          <w:t>www.padddtracker.org</w:t>
        </w:r>
      </w:hyperlink>
      <w:r w:rsidR="00942AF0" w:rsidRPr="00261F89">
        <w:t>) that is underway</w:t>
      </w:r>
      <w:r w:rsidR="00AC7086" w:rsidRPr="00261F89">
        <w:t xml:space="preserve"> a</w:t>
      </w:r>
      <w:r w:rsidR="00942AF0" w:rsidRPr="00261F89">
        <w:t xml:space="preserve">s well as </w:t>
      </w:r>
      <w:r w:rsidR="00AC7086" w:rsidRPr="00261F89">
        <w:t>declin</w:t>
      </w:r>
      <w:r w:rsidR="00942AF0" w:rsidRPr="00261F89">
        <w:t>es</w:t>
      </w:r>
      <w:r w:rsidR="00AC7086" w:rsidRPr="00261F89">
        <w:t xml:space="preserve"> in funding and political support</w:t>
      </w:r>
      <w:r w:rsidR="005958F8" w:rsidRPr="00261F89">
        <w:t xml:space="preserve"> (e.g. Watson et al., 2014 www.nature.com/nature/journal/v515/n7525/abs/nature13947.html)</w:t>
      </w:r>
      <w:r w:rsidR="00AC7086" w:rsidRPr="00261F89">
        <w:t>.</w:t>
      </w:r>
    </w:p>
    <w:p w:rsidR="00584022" w:rsidRPr="00011D7B" w:rsidRDefault="00584022" w:rsidP="00CA3291">
      <w:pPr>
        <w:spacing w:after="0" w:line="240" w:lineRule="auto"/>
      </w:pPr>
    </w:p>
    <w:p w:rsidR="00FD024D" w:rsidRDefault="00F43533" w:rsidP="00F43533">
      <w:pPr>
        <w:autoSpaceDE w:val="0"/>
        <w:autoSpaceDN w:val="0"/>
        <w:adjustRightInd w:val="0"/>
        <w:spacing w:after="0" w:line="240" w:lineRule="auto"/>
        <w:rPr>
          <w:lang w:val="en-NZ"/>
        </w:rPr>
      </w:pPr>
      <w:r>
        <w:rPr>
          <w:lang w:val="en-NZ"/>
        </w:rPr>
        <w:t>T</w:t>
      </w:r>
      <w:r w:rsidR="00FC4645">
        <w:rPr>
          <w:lang w:val="en-NZ"/>
        </w:rPr>
        <w:t xml:space="preserve">he various </w:t>
      </w:r>
      <w:r w:rsidR="00211996">
        <w:rPr>
          <w:lang w:val="en-NZ"/>
        </w:rPr>
        <w:t xml:space="preserve">management effectiveness </w:t>
      </w:r>
      <w:r w:rsidR="00FC4645">
        <w:rPr>
          <w:lang w:val="en-NZ"/>
        </w:rPr>
        <w:t>assessment approaches that are now being used</w:t>
      </w:r>
      <w:r>
        <w:rPr>
          <w:lang w:val="en-NZ"/>
        </w:rPr>
        <w:t xml:space="preserve"> were reviewed at the WPC</w:t>
      </w:r>
      <w:r w:rsidR="00FC4645">
        <w:rPr>
          <w:lang w:val="en-NZ"/>
        </w:rPr>
        <w:t>, the feeling being that different methodologies may be needed in different regions and situations</w:t>
      </w:r>
      <w:r w:rsidR="00AB1FE5">
        <w:rPr>
          <w:lang w:val="en-NZ"/>
        </w:rPr>
        <w:t xml:space="preserve">.  However people are encouraged to use or modify existing methodologies where possible: useful guidance on this is available at </w:t>
      </w:r>
      <w:hyperlink r:id="rId12" w:history="1">
        <w:r w:rsidR="00211996" w:rsidRPr="00454243">
          <w:rPr>
            <w:rStyle w:val="Hyperlink"/>
            <w:lang w:val="en-NZ"/>
          </w:rPr>
          <w:t>www.eci.ox.ac.uk/publications/downloads/coad11-protected-areas.pdf</w:t>
        </w:r>
      </w:hyperlink>
      <w:r w:rsidR="00AB1FE5">
        <w:rPr>
          <w:lang w:val="en-NZ"/>
        </w:rPr>
        <w:t>.</w:t>
      </w:r>
      <w:r>
        <w:rPr>
          <w:lang w:val="en-NZ"/>
        </w:rPr>
        <w:t xml:space="preserve">  </w:t>
      </w:r>
    </w:p>
    <w:p w:rsidR="00FD024D" w:rsidRDefault="00FD024D" w:rsidP="00F43533">
      <w:pPr>
        <w:autoSpaceDE w:val="0"/>
        <w:autoSpaceDN w:val="0"/>
        <w:adjustRightInd w:val="0"/>
        <w:spacing w:after="0" w:line="240" w:lineRule="auto"/>
        <w:rPr>
          <w:lang w:val="en-NZ"/>
        </w:rPr>
      </w:pPr>
    </w:p>
    <w:p w:rsidR="00AB1FE5" w:rsidRDefault="00FD024D" w:rsidP="00F43533">
      <w:pPr>
        <w:autoSpaceDE w:val="0"/>
        <w:autoSpaceDN w:val="0"/>
        <w:adjustRightInd w:val="0"/>
        <w:spacing w:after="0" w:line="240" w:lineRule="auto"/>
        <w:rPr>
          <w:lang w:val="en-NZ"/>
        </w:rPr>
      </w:pPr>
      <w:r>
        <w:rPr>
          <w:lang w:val="en-NZ"/>
        </w:rPr>
        <w:t xml:space="preserve">The main UK focus was the launch of the </w:t>
      </w:r>
      <w:r w:rsidR="00F43533">
        <w:rPr>
          <w:lang w:val="en-NZ"/>
        </w:rPr>
        <w:t xml:space="preserve">report </w:t>
      </w:r>
      <w:r w:rsidR="00F43533" w:rsidRPr="00FF0F3F">
        <w:rPr>
          <w:i/>
          <w:lang w:val="en-NZ"/>
        </w:rPr>
        <w:t>Putting Nature on the Map</w:t>
      </w:r>
      <w:r w:rsidR="00F43533">
        <w:rPr>
          <w:lang w:val="en-NZ"/>
        </w:rPr>
        <w:t xml:space="preserve"> (</w:t>
      </w:r>
      <w:hyperlink r:id="rId13" w:history="1">
        <w:r w:rsidR="00F43533" w:rsidRPr="00454243">
          <w:rPr>
            <w:rStyle w:val="Hyperlink"/>
            <w:rFonts w:eastAsia="Times New Roman" w:cs="Times New Roman"/>
            <w:lang w:eastAsia="en-GB"/>
          </w:rPr>
          <w:t>www.iucn-uk.org/portals/0/PNOTM_2014_full_report.pdf</w:t>
        </w:r>
      </w:hyperlink>
      <w:r w:rsidR="00F43533">
        <w:rPr>
          <w:rFonts w:eastAsia="Times New Roman" w:cs="Times New Roman"/>
          <w:lang w:eastAsia="en-GB"/>
        </w:rPr>
        <w:t xml:space="preserve">). </w:t>
      </w:r>
      <w:r w:rsidR="00F43533">
        <w:rPr>
          <w:lang w:val="en-NZ"/>
        </w:rPr>
        <w:t xml:space="preserve">This identifies all the sites in the UK that meet the IUCN definition of a protected area and assigns them to one of the six IUCN protected area categories.  </w:t>
      </w:r>
      <w:r>
        <w:rPr>
          <w:lang w:val="en-NZ"/>
        </w:rPr>
        <w:t>The recommendations</w:t>
      </w:r>
      <w:r w:rsidR="00F43533">
        <w:rPr>
          <w:lang w:val="en-NZ"/>
        </w:rPr>
        <w:t xml:space="preserve"> includ</w:t>
      </w:r>
      <w:r>
        <w:rPr>
          <w:lang w:val="en-NZ"/>
        </w:rPr>
        <w:t xml:space="preserve">e one that is specifically marine: </w:t>
      </w:r>
      <w:r w:rsidR="00F43533">
        <w:rPr>
          <w:lang w:val="en-NZ"/>
        </w:rPr>
        <w:t>that the effectiveness of implementation of marine conservation areas should be reviewed in 2017, noting that “</w:t>
      </w:r>
      <w:r w:rsidR="00F43533" w:rsidRPr="00011D7B">
        <w:rPr>
          <w:rFonts w:cs="HelveticaNeueLTPro-Lt"/>
        </w:rPr>
        <w:t>until the precise</w:t>
      </w:r>
      <w:r w:rsidR="00F43533">
        <w:rPr>
          <w:rFonts w:cs="HelveticaNeueLTPro-Lt"/>
        </w:rPr>
        <w:t xml:space="preserve"> </w:t>
      </w:r>
      <w:r w:rsidR="00F43533" w:rsidRPr="00011D7B">
        <w:rPr>
          <w:rFonts w:cs="HelveticaNeueLTPro-Lt"/>
        </w:rPr>
        <w:t>arrangements for activities to be permitted are agreed</w:t>
      </w:r>
      <w:r w:rsidR="00F43533">
        <w:rPr>
          <w:rFonts w:cs="HelveticaNeueLTPro-Lt"/>
        </w:rPr>
        <w:t xml:space="preserve"> </w:t>
      </w:r>
      <w:r w:rsidR="00F43533" w:rsidRPr="00011D7B">
        <w:rPr>
          <w:rFonts w:cs="HelveticaNeueLTPro-Lt"/>
        </w:rPr>
        <w:t>between the parties and fully implemented, especially</w:t>
      </w:r>
      <w:r w:rsidR="00F43533">
        <w:rPr>
          <w:rFonts w:cs="HelveticaNeueLTPro-Lt"/>
        </w:rPr>
        <w:t xml:space="preserve"> </w:t>
      </w:r>
      <w:r w:rsidR="00F43533" w:rsidRPr="00011D7B">
        <w:rPr>
          <w:rFonts w:cs="HelveticaNeueLTPro-Lt"/>
        </w:rPr>
        <w:t>for various types of fishing and other natural resource</w:t>
      </w:r>
      <w:r>
        <w:rPr>
          <w:rFonts w:cs="HelveticaNeueLTPro-Lt"/>
        </w:rPr>
        <w:t xml:space="preserve"> </w:t>
      </w:r>
      <w:r w:rsidR="00F43533" w:rsidRPr="00011D7B">
        <w:rPr>
          <w:rFonts w:cs="HelveticaNeueLTPro-Lt"/>
        </w:rPr>
        <w:t>exploitation, the Assessment Panel cannot predict with</w:t>
      </w:r>
      <w:r w:rsidR="00F43533">
        <w:rPr>
          <w:rFonts w:cs="HelveticaNeueLTPro-Lt"/>
        </w:rPr>
        <w:t xml:space="preserve"> </w:t>
      </w:r>
      <w:r w:rsidR="00F43533" w:rsidRPr="00011D7B">
        <w:rPr>
          <w:rFonts w:cs="HelveticaNeueLTPro-Lt"/>
        </w:rPr>
        <w:t>certainty that these designations will continue to meet the</w:t>
      </w:r>
      <w:r w:rsidR="00F43533">
        <w:rPr>
          <w:rFonts w:cs="HelveticaNeueLTPro-Lt"/>
        </w:rPr>
        <w:t xml:space="preserve"> </w:t>
      </w:r>
      <w:r w:rsidR="00F43533" w:rsidRPr="00011D7B">
        <w:rPr>
          <w:rFonts w:cs="HelveticaNeueLTPro-Lt"/>
        </w:rPr>
        <w:t>test of being protected areas</w:t>
      </w:r>
      <w:r w:rsidR="00F43533">
        <w:rPr>
          <w:rFonts w:cs="HelveticaNeueLTPro-Lt"/>
        </w:rPr>
        <w:t>”</w:t>
      </w:r>
      <w:r w:rsidR="00F43533" w:rsidRPr="00011D7B">
        <w:rPr>
          <w:rFonts w:cs="HelveticaNeueLTPro-Lt"/>
        </w:rPr>
        <w:t>.</w:t>
      </w:r>
      <w:r w:rsidR="00F43533">
        <w:rPr>
          <w:lang w:val="en-NZ"/>
        </w:rPr>
        <w:t xml:space="preserve">  </w:t>
      </w:r>
    </w:p>
    <w:p w:rsidR="00AB1FE5" w:rsidRDefault="00AB1FE5" w:rsidP="00AB1FE5">
      <w:pPr>
        <w:autoSpaceDE w:val="0"/>
        <w:autoSpaceDN w:val="0"/>
        <w:adjustRightInd w:val="0"/>
        <w:spacing w:after="0" w:line="240" w:lineRule="auto"/>
        <w:rPr>
          <w:lang w:val="en-NZ"/>
        </w:rPr>
      </w:pPr>
    </w:p>
    <w:p w:rsidR="00C14947" w:rsidRDefault="00AB1FE5" w:rsidP="00C14947">
      <w:pPr>
        <w:pStyle w:val="PlainText"/>
      </w:pPr>
      <w:r>
        <w:rPr>
          <w:rFonts w:asciiTheme="minorHAnsi" w:hAnsiTheme="minorHAnsi"/>
          <w:szCs w:val="22"/>
          <w:lang w:val="en-NZ"/>
        </w:rPr>
        <w:t>The WPC</w:t>
      </w:r>
      <w:r w:rsidR="00EB0B06" w:rsidRPr="00011D7B">
        <w:rPr>
          <w:rFonts w:asciiTheme="minorHAnsi" w:hAnsiTheme="minorHAnsi"/>
          <w:szCs w:val="22"/>
          <w:lang w:val="en-NZ"/>
        </w:rPr>
        <w:t xml:space="preserve"> </w:t>
      </w:r>
      <w:r>
        <w:rPr>
          <w:rFonts w:asciiTheme="minorHAnsi" w:hAnsiTheme="minorHAnsi"/>
          <w:szCs w:val="22"/>
          <w:lang w:val="en-NZ"/>
        </w:rPr>
        <w:t xml:space="preserve">also </w:t>
      </w:r>
      <w:r w:rsidR="00584022" w:rsidRPr="00011D7B">
        <w:rPr>
          <w:rFonts w:asciiTheme="minorHAnsi" w:hAnsiTheme="minorHAnsi"/>
          <w:szCs w:val="22"/>
          <w:lang w:val="en-NZ"/>
        </w:rPr>
        <w:t xml:space="preserve">saw the </w:t>
      </w:r>
      <w:r w:rsidR="00EB0B06" w:rsidRPr="00011D7B">
        <w:rPr>
          <w:rFonts w:asciiTheme="minorHAnsi" w:hAnsiTheme="minorHAnsi"/>
          <w:szCs w:val="22"/>
          <w:lang w:val="en-NZ"/>
        </w:rPr>
        <w:t xml:space="preserve">launch </w:t>
      </w:r>
      <w:r w:rsidR="00584022" w:rsidRPr="00011D7B">
        <w:rPr>
          <w:rFonts w:asciiTheme="minorHAnsi" w:hAnsiTheme="minorHAnsi"/>
          <w:szCs w:val="22"/>
          <w:lang w:val="en-NZ"/>
        </w:rPr>
        <w:t xml:space="preserve">of </w:t>
      </w:r>
      <w:r w:rsidR="00EB0B06" w:rsidRPr="00011D7B">
        <w:rPr>
          <w:rFonts w:asciiTheme="minorHAnsi" w:hAnsiTheme="minorHAnsi"/>
          <w:szCs w:val="22"/>
          <w:lang w:val="en-NZ"/>
        </w:rPr>
        <w:t xml:space="preserve">the IUCN Green List of Protected Areas as a mechanism to both celebrate sites that meet high standards of protected area outcomes and encourage improvement in management.  </w:t>
      </w:r>
      <w:r>
        <w:rPr>
          <w:rFonts w:asciiTheme="minorHAnsi" w:hAnsiTheme="minorHAnsi"/>
          <w:szCs w:val="22"/>
          <w:lang w:val="en-NZ"/>
        </w:rPr>
        <w:t xml:space="preserve">This voluntary programme allows protected areas </w:t>
      </w:r>
      <w:r>
        <w:t>and their agencies to work towards a set of standards and criteria that, if achieved</w:t>
      </w:r>
      <w:r w:rsidR="00C14947">
        <w:t xml:space="preserve"> with successful demonstration of performance and outcomes</w:t>
      </w:r>
      <w:r>
        <w:t>, will give them 'Green List' status.</w:t>
      </w:r>
      <w:r w:rsidR="00C14947">
        <w:t xml:space="preserve"> </w:t>
      </w:r>
      <w:r>
        <w:t xml:space="preserve">The </w:t>
      </w:r>
      <w:r w:rsidR="00C14947">
        <w:t>protected area</w:t>
      </w:r>
      <w:r>
        <w:t xml:space="preserve"> needs to demonstrate evidence of real conservation results, </w:t>
      </w:r>
      <w:r w:rsidR="00211996">
        <w:t>as well as</w:t>
      </w:r>
      <w:r>
        <w:t xml:space="preserve"> equity and social outcomes.</w:t>
      </w:r>
      <w:r w:rsidR="00C14947">
        <w:t xml:space="preserve"> The 24 protected areas awarded Green List status at the WPC included three MPAs: </w:t>
      </w:r>
      <w:proofErr w:type="spellStart"/>
      <w:r w:rsidR="00C14947">
        <w:t>Gorgona</w:t>
      </w:r>
      <w:proofErr w:type="spellEnd"/>
      <w:r w:rsidR="00C14947">
        <w:t xml:space="preserve"> Island Marine Park in Colombia, and </w:t>
      </w:r>
      <w:proofErr w:type="spellStart"/>
      <w:r w:rsidR="00C14947">
        <w:t>Iroise</w:t>
      </w:r>
      <w:proofErr w:type="spellEnd"/>
      <w:r w:rsidR="00C14947">
        <w:t xml:space="preserve"> National Park and </w:t>
      </w:r>
      <w:proofErr w:type="spellStart"/>
      <w:r w:rsidR="00C14947">
        <w:t>Cerbere-Banyuls</w:t>
      </w:r>
      <w:proofErr w:type="spellEnd"/>
      <w:r w:rsidR="00C14947">
        <w:t xml:space="preserve"> Marine Reserve in France.</w:t>
      </w:r>
    </w:p>
    <w:p w:rsidR="003B6FC7" w:rsidRDefault="003B6FC7" w:rsidP="00CA3291">
      <w:pPr>
        <w:shd w:val="clear" w:color="auto" w:fill="FFFFFF"/>
        <w:spacing w:after="0" w:line="240" w:lineRule="auto"/>
        <w:rPr>
          <w:rFonts w:eastAsia="Times New Roman" w:cs="Times New Roman"/>
          <w:b/>
          <w:sz w:val="24"/>
          <w:szCs w:val="24"/>
          <w:lang w:val="en-US" w:eastAsia="en-GB"/>
        </w:rPr>
      </w:pPr>
    </w:p>
    <w:p w:rsidR="003B6FC7" w:rsidRDefault="003B6FC7" w:rsidP="00CA3291">
      <w:pPr>
        <w:shd w:val="clear" w:color="auto" w:fill="FFFFFF"/>
        <w:spacing w:after="0" w:line="240" w:lineRule="auto"/>
        <w:rPr>
          <w:rFonts w:eastAsia="Times New Roman" w:cs="Times New Roman"/>
          <w:b/>
          <w:sz w:val="24"/>
          <w:szCs w:val="24"/>
          <w:lang w:val="en-US" w:eastAsia="en-GB"/>
        </w:rPr>
      </w:pPr>
    </w:p>
    <w:p w:rsidR="003B6FC7" w:rsidRDefault="003B6FC7" w:rsidP="00CA3291">
      <w:pPr>
        <w:shd w:val="clear" w:color="auto" w:fill="FFFFFF"/>
        <w:spacing w:after="0" w:line="240" w:lineRule="auto"/>
        <w:rPr>
          <w:rFonts w:eastAsia="Times New Roman" w:cs="Times New Roman"/>
          <w:b/>
          <w:sz w:val="24"/>
          <w:szCs w:val="24"/>
          <w:lang w:val="en-US" w:eastAsia="en-GB"/>
        </w:rPr>
      </w:pPr>
    </w:p>
    <w:p w:rsidR="003B6FC7" w:rsidRDefault="003B6FC7" w:rsidP="00CA3291">
      <w:pPr>
        <w:shd w:val="clear" w:color="auto" w:fill="FFFFFF"/>
        <w:spacing w:after="0" w:line="240" w:lineRule="auto"/>
        <w:rPr>
          <w:rFonts w:eastAsia="Times New Roman" w:cs="Times New Roman"/>
          <w:b/>
          <w:sz w:val="24"/>
          <w:szCs w:val="24"/>
          <w:lang w:val="en-US" w:eastAsia="en-GB"/>
        </w:rPr>
      </w:pPr>
    </w:p>
    <w:p w:rsidR="00FD7319" w:rsidRPr="00011D7B" w:rsidRDefault="00F876A3" w:rsidP="00CA3291">
      <w:pPr>
        <w:shd w:val="clear" w:color="auto" w:fill="FFFFFF"/>
        <w:spacing w:after="0" w:line="240" w:lineRule="auto"/>
        <w:rPr>
          <w:rFonts w:eastAsia="Times New Roman" w:cs="Times New Roman"/>
          <w:b/>
          <w:sz w:val="24"/>
          <w:szCs w:val="24"/>
          <w:lang w:val="en-US" w:eastAsia="en-GB"/>
        </w:rPr>
      </w:pPr>
      <w:r w:rsidRPr="00011D7B">
        <w:rPr>
          <w:rFonts w:eastAsia="Times New Roman" w:cs="Times New Roman"/>
          <w:b/>
          <w:sz w:val="24"/>
          <w:szCs w:val="24"/>
          <w:lang w:val="en-US" w:eastAsia="en-GB"/>
        </w:rPr>
        <w:lastRenderedPageBreak/>
        <w:t>Congress outcomes</w:t>
      </w:r>
      <w:r w:rsidR="00D3705B" w:rsidRPr="00011D7B">
        <w:rPr>
          <w:rFonts w:eastAsia="Times New Roman" w:cs="Times New Roman"/>
          <w:b/>
          <w:sz w:val="24"/>
          <w:szCs w:val="24"/>
          <w:lang w:val="en-US" w:eastAsia="en-GB"/>
        </w:rPr>
        <w:t xml:space="preserve"> and next steps</w:t>
      </w:r>
    </w:p>
    <w:p w:rsidR="00F876A3" w:rsidRPr="00011D7B" w:rsidRDefault="00F876A3" w:rsidP="00CA3291">
      <w:pPr>
        <w:shd w:val="clear" w:color="auto" w:fill="FFFFFF"/>
        <w:spacing w:after="0" w:line="240" w:lineRule="auto"/>
        <w:rPr>
          <w:rFonts w:eastAsia="Times New Roman" w:cs="Times New Roman"/>
          <w:b/>
          <w:sz w:val="24"/>
          <w:szCs w:val="24"/>
          <w:lang w:val="en-US" w:eastAsia="en-GB"/>
        </w:rPr>
      </w:pPr>
    </w:p>
    <w:p w:rsidR="00011D7B" w:rsidRPr="00011D7B" w:rsidRDefault="00211996" w:rsidP="00011D7B">
      <w:pPr>
        <w:spacing w:after="0" w:line="240" w:lineRule="auto"/>
      </w:pPr>
      <w:r>
        <w:t>M</w:t>
      </w:r>
      <w:r w:rsidR="00011D7B" w:rsidRPr="00011D7B">
        <w:t xml:space="preserve">uch of the material presented at the </w:t>
      </w:r>
      <w:r w:rsidR="001A12B1">
        <w:t>WPC</w:t>
      </w:r>
      <w:r w:rsidR="00011D7B" w:rsidRPr="00011D7B">
        <w:t xml:space="preserve"> will </w:t>
      </w:r>
      <w:r w:rsidR="00011D7B">
        <w:t xml:space="preserve">shortly </w:t>
      </w:r>
      <w:r w:rsidR="00011D7B" w:rsidRPr="00011D7B">
        <w:t>become available</w:t>
      </w:r>
      <w:r w:rsidR="00011D7B">
        <w:t>, and</w:t>
      </w:r>
      <w:r w:rsidR="00011D7B" w:rsidRPr="00011D7B">
        <w:t xml:space="preserve"> </w:t>
      </w:r>
      <w:r w:rsidR="00D238C2">
        <w:t xml:space="preserve">a </w:t>
      </w:r>
      <w:r w:rsidR="00011D7B" w:rsidRPr="00011D7B">
        <w:t xml:space="preserve">special issue of </w:t>
      </w:r>
      <w:r w:rsidR="00011D7B" w:rsidRPr="00211996">
        <w:rPr>
          <w:i/>
        </w:rPr>
        <w:t>Aquatic Conservation</w:t>
      </w:r>
      <w:r w:rsidR="00011D7B" w:rsidRPr="00011D7B">
        <w:t xml:space="preserve"> is in the pipeline that will publish papers on the main MPA issues </w:t>
      </w:r>
      <w:r>
        <w:t>covered</w:t>
      </w:r>
      <w:r w:rsidR="001A12B1">
        <w:t xml:space="preserve"> (t</w:t>
      </w:r>
      <w:r w:rsidR="00011D7B" w:rsidRPr="00011D7B">
        <w:t xml:space="preserve">he special issue </w:t>
      </w:r>
      <w:r>
        <w:t xml:space="preserve">of this journal </w:t>
      </w:r>
      <w:r w:rsidR="00D238C2">
        <w:t>with</w:t>
      </w:r>
      <w:r w:rsidR="00011D7B" w:rsidRPr="00011D7B">
        <w:t xml:space="preserve"> the 2013 IMPAC3 materials was launched at </w:t>
      </w:r>
      <w:r w:rsidR="001A12B1">
        <w:t>Sydney (</w:t>
      </w:r>
      <w:r w:rsidRPr="00211996">
        <w:t>http://onlinelibrary.wiley.com/doi/10.1002/aqc.v24.S2/issuetoc</w:t>
      </w:r>
      <w:r w:rsidR="00011D7B" w:rsidRPr="00011D7B">
        <w:t>nd</w:t>
      </w:r>
      <w:r w:rsidR="001A12B1">
        <w:t>)</w:t>
      </w:r>
      <w:r w:rsidR="00D238C2">
        <w:t>)</w:t>
      </w:r>
      <w:r w:rsidR="001A12B1">
        <w:t>.</w:t>
      </w:r>
      <w:r w:rsidR="00011D7B" w:rsidRPr="00011D7B">
        <w:t xml:space="preserve"> </w:t>
      </w:r>
    </w:p>
    <w:p w:rsidR="00011D7B" w:rsidRPr="00011D7B" w:rsidRDefault="00011D7B" w:rsidP="00011D7B">
      <w:pPr>
        <w:shd w:val="clear" w:color="auto" w:fill="FFFFFF"/>
        <w:spacing w:after="0" w:line="240" w:lineRule="auto"/>
        <w:rPr>
          <w:rFonts w:eastAsia="Times New Roman" w:cs="Times New Roman"/>
          <w:lang w:val="en-US" w:eastAsia="en-GB"/>
        </w:rPr>
      </w:pPr>
    </w:p>
    <w:p w:rsidR="005E1984" w:rsidRPr="00011D7B" w:rsidRDefault="003B6FC7" w:rsidP="00CA3291">
      <w:pPr>
        <w:shd w:val="clear" w:color="auto" w:fill="FFFFFF"/>
        <w:spacing w:after="0" w:line="240" w:lineRule="auto"/>
        <w:rPr>
          <w:rFonts w:eastAsia="Times New Roman" w:cs="Times New Roman"/>
          <w:lang w:val="en-US" w:eastAsia="en-GB"/>
        </w:rPr>
      </w:pPr>
      <w:r>
        <w:rPr>
          <w:rFonts w:eastAsia="Times New Roman" w:cs="Times New Roman"/>
          <w:lang w:val="en-US" w:eastAsia="en-GB"/>
        </w:rPr>
        <w:t>The</w:t>
      </w:r>
      <w:r w:rsidR="00011D7B">
        <w:rPr>
          <w:rFonts w:eastAsia="Times New Roman" w:cs="Times New Roman"/>
          <w:lang w:val="en-US" w:eastAsia="en-GB"/>
        </w:rPr>
        <w:t xml:space="preserve"> main outcome of the WPC</w:t>
      </w:r>
      <w:r>
        <w:rPr>
          <w:rFonts w:eastAsia="Times New Roman" w:cs="Times New Roman"/>
          <w:lang w:val="en-US" w:eastAsia="en-GB"/>
        </w:rPr>
        <w:t xml:space="preserve"> is</w:t>
      </w:r>
      <w:r w:rsidR="00011D7B">
        <w:rPr>
          <w:rFonts w:eastAsia="Times New Roman" w:cs="Times New Roman"/>
          <w:lang w:val="en-US" w:eastAsia="en-GB"/>
        </w:rPr>
        <w:t xml:space="preserve"> t</w:t>
      </w:r>
      <w:r w:rsidR="00456E34" w:rsidRPr="00011D7B">
        <w:rPr>
          <w:rFonts w:eastAsia="Times New Roman" w:cs="Times New Roman"/>
          <w:lang w:val="en-US" w:eastAsia="en-GB"/>
        </w:rPr>
        <w:t xml:space="preserve">he </w:t>
      </w:r>
      <w:r w:rsidR="00011D7B">
        <w:rPr>
          <w:rFonts w:eastAsia="Times New Roman" w:cs="Times New Roman"/>
          <w:lang w:val="en-US" w:eastAsia="en-GB"/>
        </w:rPr>
        <w:t xml:space="preserve">“Promise of Sydney”.  This provides the principal </w:t>
      </w:r>
      <w:r w:rsidR="00DF6ED5" w:rsidRPr="00011D7B">
        <w:rPr>
          <w:rFonts w:eastAsia="Times New Roman" w:cs="Times New Roman"/>
          <w:lang w:val="en-US" w:eastAsia="en-GB"/>
        </w:rPr>
        <w:t xml:space="preserve">conclusions </w:t>
      </w:r>
      <w:r w:rsidR="00011D7B">
        <w:rPr>
          <w:rFonts w:eastAsia="Times New Roman" w:cs="Times New Roman"/>
          <w:lang w:val="en-US" w:eastAsia="en-GB"/>
        </w:rPr>
        <w:t xml:space="preserve">of the Congress </w:t>
      </w:r>
      <w:r w:rsidR="00DF6ED5" w:rsidRPr="00011D7B">
        <w:rPr>
          <w:rFonts w:eastAsia="Times New Roman" w:cs="Times New Roman"/>
          <w:lang w:val="en-US" w:eastAsia="en-GB"/>
        </w:rPr>
        <w:t>and</w:t>
      </w:r>
      <w:r w:rsidR="00011D7B">
        <w:rPr>
          <w:rFonts w:eastAsia="Times New Roman" w:cs="Times New Roman"/>
          <w:lang w:val="en-US" w:eastAsia="en-GB"/>
        </w:rPr>
        <w:t xml:space="preserve"> a set of</w:t>
      </w:r>
      <w:r w:rsidR="00DF6ED5" w:rsidRPr="00011D7B">
        <w:rPr>
          <w:rFonts w:eastAsia="Times New Roman" w:cs="Times New Roman"/>
          <w:lang w:val="en-US" w:eastAsia="en-GB"/>
        </w:rPr>
        <w:t xml:space="preserve"> non</w:t>
      </w:r>
      <w:r w:rsidR="00011D7B">
        <w:rPr>
          <w:rFonts w:eastAsia="Times New Roman" w:cs="Times New Roman"/>
          <w:lang w:val="en-US" w:eastAsia="en-GB"/>
        </w:rPr>
        <w:t>-</w:t>
      </w:r>
      <w:r w:rsidR="00DF6ED5" w:rsidRPr="00011D7B">
        <w:rPr>
          <w:rFonts w:eastAsia="Times New Roman" w:cs="Times New Roman"/>
          <w:lang w:val="en-US" w:eastAsia="en-GB"/>
        </w:rPr>
        <w:t>binding recommendations</w:t>
      </w:r>
      <w:r w:rsidR="00D238C2">
        <w:rPr>
          <w:rFonts w:eastAsia="Times New Roman" w:cs="Times New Roman"/>
          <w:lang w:val="en-US" w:eastAsia="en-GB"/>
        </w:rPr>
        <w:t>,</w:t>
      </w:r>
      <w:r w:rsidR="00DF6ED5" w:rsidRPr="00011D7B">
        <w:rPr>
          <w:rFonts w:eastAsia="Times New Roman" w:cs="Times New Roman"/>
          <w:lang w:val="en-US" w:eastAsia="en-GB"/>
        </w:rPr>
        <w:t xml:space="preserve"> in four parts</w:t>
      </w:r>
      <w:r w:rsidR="00456E34" w:rsidRPr="00011D7B">
        <w:rPr>
          <w:rFonts w:eastAsia="Times New Roman" w:cs="Times New Roman"/>
          <w:lang w:val="en-US" w:eastAsia="en-GB"/>
        </w:rPr>
        <w:t xml:space="preserve">: </w:t>
      </w:r>
      <w:r w:rsidR="00591B94" w:rsidRPr="00011D7B">
        <w:rPr>
          <w:rFonts w:eastAsia="Times New Roman" w:cs="Times New Roman"/>
          <w:lang w:val="en-US" w:eastAsia="en-GB"/>
        </w:rPr>
        <w:t xml:space="preserve"> </w:t>
      </w:r>
    </w:p>
    <w:p w:rsidR="005E1984" w:rsidRPr="00011D7B" w:rsidRDefault="005E1984" w:rsidP="00CA3291">
      <w:pPr>
        <w:shd w:val="clear" w:color="auto" w:fill="FFFFFF"/>
        <w:spacing w:after="0" w:line="240" w:lineRule="auto"/>
        <w:rPr>
          <w:rFonts w:eastAsia="Times New Roman" w:cs="Times New Roman"/>
          <w:lang w:val="en-US" w:eastAsia="en-GB"/>
        </w:rPr>
      </w:pPr>
    </w:p>
    <w:p w:rsidR="00591B94" w:rsidRPr="00011D7B" w:rsidRDefault="000B5157" w:rsidP="00011D7B">
      <w:pPr>
        <w:pStyle w:val="ListParagraph"/>
        <w:numPr>
          <w:ilvl w:val="0"/>
          <w:numId w:val="3"/>
        </w:numPr>
        <w:shd w:val="clear" w:color="auto" w:fill="FFFFFF"/>
        <w:spacing w:after="0" w:line="240" w:lineRule="auto"/>
        <w:rPr>
          <w:rFonts w:eastAsia="Times New Roman" w:cs="Times New Roman"/>
          <w:lang w:val="en-US" w:eastAsia="en-GB"/>
        </w:rPr>
      </w:pPr>
      <w:hyperlink r:id="rId14" w:history="1">
        <w:r w:rsidR="00591B94" w:rsidRPr="00011D7B">
          <w:rPr>
            <w:rFonts w:eastAsia="Times New Roman" w:cs="Times New Roman"/>
            <w:b/>
            <w:bCs/>
            <w:color w:val="005777"/>
            <w:u w:val="single"/>
            <w:lang w:val="en-US" w:eastAsia="en-GB"/>
          </w:rPr>
          <w:t>A Vision:</w:t>
        </w:r>
      </w:hyperlink>
      <w:r w:rsidR="00257CC4" w:rsidRPr="00011D7B">
        <w:rPr>
          <w:rFonts w:eastAsia="Times New Roman" w:cs="Times New Roman"/>
          <w:b/>
          <w:bCs/>
          <w:color w:val="005777"/>
          <w:u w:val="single"/>
          <w:lang w:val="en-US" w:eastAsia="en-GB"/>
        </w:rPr>
        <w:t xml:space="preserve"> </w:t>
      </w:r>
      <w:r w:rsidR="00257CC4" w:rsidRPr="00011D7B">
        <w:rPr>
          <w:rFonts w:eastAsia="Times New Roman" w:cs="Times New Roman"/>
          <w:lang w:val="en-US" w:eastAsia="en-GB"/>
        </w:rPr>
        <w:t>a broad statement about</w:t>
      </w:r>
      <w:r w:rsidR="00591B94" w:rsidRPr="00011D7B">
        <w:rPr>
          <w:rFonts w:eastAsia="Times New Roman" w:cs="Times New Roman"/>
          <w:lang w:val="en-US" w:eastAsia="en-GB"/>
        </w:rPr>
        <w:t xml:space="preserve"> the change</w:t>
      </w:r>
      <w:r w:rsidR="00257CC4" w:rsidRPr="00011D7B">
        <w:rPr>
          <w:rFonts w:eastAsia="Times New Roman" w:cs="Times New Roman"/>
          <w:lang w:val="en-US" w:eastAsia="en-GB"/>
        </w:rPr>
        <w:t>s</w:t>
      </w:r>
      <w:r w:rsidR="00591B94" w:rsidRPr="00011D7B">
        <w:rPr>
          <w:rFonts w:eastAsia="Times New Roman" w:cs="Times New Roman"/>
          <w:lang w:val="en-US" w:eastAsia="en-GB"/>
        </w:rPr>
        <w:t xml:space="preserve"> need</w:t>
      </w:r>
      <w:r w:rsidR="00257CC4" w:rsidRPr="00011D7B">
        <w:rPr>
          <w:rFonts w:eastAsia="Times New Roman" w:cs="Times New Roman"/>
          <w:lang w:val="en-US" w:eastAsia="en-GB"/>
        </w:rPr>
        <w:t>ed</w:t>
      </w:r>
      <w:r w:rsidR="00591B94" w:rsidRPr="00011D7B">
        <w:rPr>
          <w:rFonts w:eastAsia="Times New Roman" w:cs="Times New Roman"/>
          <w:lang w:val="en-US" w:eastAsia="en-GB"/>
        </w:rPr>
        <w:t xml:space="preserve"> in the coming decade to enhance implementation of conservation and development goals for parks, people and the planet.</w:t>
      </w:r>
    </w:p>
    <w:p w:rsidR="00C671DB" w:rsidRPr="00011D7B" w:rsidRDefault="000B5157" w:rsidP="00011D7B">
      <w:pPr>
        <w:pStyle w:val="ListParagraph"/>
        <w:numPr>
          <w:ilvl w:val="0"/>
          <w:numId w:val="3"/>
        </w:numPr>
        <w:shd w:val="clear" w:color="auto" w:fill="FFFFFF"/>
        <w:spacing w:after="0" w:line="240" w:lineRule="auto"/>
        <w:rPr>
          <w:rFonts w:eastAsia="Times New Roman" w:cs="Times New Roman"/>
          <w:lang w:val="en-US" w:eastAsia="en-GB"/>
        </w:rPr>
      </w:pPr>
      <w:hyperlink r:id="rId15" w:history="1">
        <w:r w:rsidR="00591B94" w:rsidRPr="00011D7B">
          <w:rPr>
            <w:rFonts w:eastAsia="Times New Roman" w:cs="Times New Roman"/>
            <w:b/>
            <w:bCs/>
            <w:color w:val="005777"/>
            <w:u w:val="single"/>
            <w:lang w:val="en-US" w:eastAsia="en-GB"/>
          </w:rPr>
          <w:t>Innovative App</w:t>
        </w:r>
        <w:r w:rsidR="00257CC4" w:rsidRPr="00011D7B">
          <w:rPr>
            <w:rFonts w:eastAsia="Times New Roman" w:cs="Times New Roman"/>
            <w:b/>
            <w:bCs/>
            <w:color w:val="005777"/>
            <w:u w:val="single"/>
            <w:lang w:val="en-US" w:eastAsia="en-GB"/>
          </w:rPr>
          <w:t>roaches</w:t>
        </w:r>
        <w:r w:rsidR="00591B94" w:rsidRPr="00011D7B">
          <w:rPr>
            <w:rFonts w:eastAsia="Times New Roman" w:cs="Times New Roman"/>
            <w:b/>
            <w:bCs/>
            <w:color w:val="005777"/>
            <w:u w:val="single"/>
            <w:lang w:val="en-US" w:eastAsia="en-GB"/>
          </w:rPr>
          <w:t>:</w:t>
        </w:r>
      </w:hyperlink>
      <w:r w:rsidR="00456E34" w:rsidRPr="00011D7B">
        <w:rPr>
          <w:rFonts w:eastAsia="Times New Roman" w:cs="Times New Roman"/>
          <w:b/>
          <w:bCs/>
          <w:color w:val="005777"/>
          <w:u w:val="single"/>
          <w:lang w:val="en-US" w:eastAsia="en-GB"/>
        </w:rPr>
        <w:t xml:space="preserve">  </w:t>
      </w:r>
      <w:r w:rsidR="00DF6ED5" w:rsidRPr="00011D7B">
        <w:rPr>
          <w:rFonts w:eastAsia="Times New Roman" w:cs="Times New Roman"/>
          <w:lang w:val="en-US" w:eastAsia="en-GB"/>
        </w:rPr>
        <w:t xml:space="preserve">a set of </w:t>
      </w:r>
      <w:r w:rsidR="00591B94" w:rsidRPr="00011D7B">
        <w:rPr>
          <w:rFonts w:eastAsia="Times New Roman" w:cs="Times New Roman"/>
          <w:lang w:val="en-US" w:eastAsia="en-GB"/>
        </w:rPr>
        <w:t xml:space="preserve">twelve </w:t>
      </w:r>
      <w:r w:rsidR="00DF6ED5" w:rsidRPr="00011D7B">
        <w:rPr>
          <w:rFonts w:eastAsia="Times New Roman" w:cs="Times New Roman"/>
          <w:lang w:val="en-US" w:eastAsia="en-GB"/>
        </w:rPr>
        <w:t>documents</w:t>
      </w:r>
      <w:r w:rsidR="003B6FC7">
        <w:rPr>
          <w:rFonts w:eastAsia="Times New Roman" w:cs="Times New Roman"/>
          <w:lang w:val="en-US" w:eastAsia="en-GB"/>
        </w:rPr>
        <w:t xml:space="preserve"> </w:t>
      </w:r>
      <w:r w:rsidR="00DF6ED5" w:rsidRPr="00011D7B">
        <w:rPr>
          <w:rFonts w:eastAsia="Times New Roman" w:cs="Times New Roman"/>
          <w:lang w:val="en-US" w:eastAsia="en-GB"/>
        </w:rPr>
        <w:t xml:space="preserve">drafted by each of the </w:t>
      </w:r>
      <w:r w:rsidR="00591B94" w:rsidRPr="00011D7B">
        <w:rPr>
          <w:rFonts w:eastAsia="Times New Roman" w:cs="Times New Roman"/>
          <w:lang w:val="en-US" w:eastAsia="en-GB"/>
        </w:rPr>
        <w:t>Streams and Cross-Cutting Themes</w:t>
      </w:r>
      <w:r w:rsidR="003B6FC7">
        <w:rPr>
          <w:rFonts w:eastAsia="Times New Roman" w:cs="Times New Roman"/>
          <w:lang w:val="en-US" w:eastAsia="en-GB"/>
        </w:rPr>
        <w:t xml:space="preserve"> </w:t>
      </w:r>
      <w:r w:rsidR="003B6FC7">
        <w:rPr>
          <w:rFonts w:eastAsia="Times New Roman" w:cs="Times New Roman"/>
          <w:lang w:val="en-US" w:eastAsia="en-GB"/>
        </w:rPr>
        <w:t>including marine</w:t>
      </w:r>
      <w:r w:rsidR="00591B94" w:rsidRPr="00011D7B">
        <w:rPr>
          <w:rFonts w:eastAsia="Times New Roman" w:cs="Times New Roman"/>
          <w:lang w:val="en-US" w:eastAsia="en-GB"/>
        </w:rPr>
        <w:t xml:space="preserve">, </w:t>
      </w:r>
      <w:r w:rsidR="00DF6ED5" w:rsidRPr="00011D7B">
        <w:rPr>
          <w:rFonts w:eastAsia="Times New Roman" w:cs="Times New Roman"/>
          <w:lang w:val="en-US" w:eastAsia="en-GB"/>
        </w:rPr>
        <w:t xml:space="preserve">with </w:t>
      </w:r>
      <w:r w:rsidR="00257CC4" w:rsidRPr="00011D7B">
        <w:rPr>
          <w:rFonts w:eastAsia="Times New Roman" w:cs="Times New Roman"/>
          <w:lang w:val="en-US" w:eastAsia="en-GB"/>
        </w:rPr>
        <w:t xml:space="preserve">recommendations and interim </w:t>
      </w:r>
      <w:r w:rsidR="00BF31DE" w:rsidRPr="00011D7B">
        <w:rPr>
          <w:rFonts w:eastAsia="Times New Roman" w:cs="Times New Roman"/>
          <w:lang w:val="en-US" w:eastAsia="en-GB"/>
        </w:rPr>
        <w:t>targets</w:t>
      </w:r>
      <w:r w:rsidR="003B6FC7">
        <w:rPr>
          <w:rFonts w:eastAsia="Times New Roman" w:cs="Times New Roman"/>
          <w:lang w:val="en-US" w:eastAsia="en-GB"/>
        </w:rPr>
        <w:t>.</w:t>
      </w:r>
    </w:p>
    <w:p w:rsidR="005E1984" w:rsidRPr="00011D7B" w:rsidRDefault="00C671DB" w:rsidP="00011D7B">
      <w:pPr>
        <w:pStyle w:val="ListParagraph"/>
        <w:numPr>
          <w:ilvl w:val="0"/>
          <w:numId w:val="3"/>
        </w:numPr>
        <w:shd w:val="clear" w:color="auto" w:fill="FFFFFF"/>
        <w:spacing w:after="0" w:line="240" w:lineRule="auto"/>
        <w:rPr>
          <w:rFonts w:eastAsia="Times New Roman" w:cs="Times New Roman"/>
          <w:lang w:val="en-US" w:eastAsia="en-GB"/>
        </w:rPr>
      </w:pPr>
      <w:r w:rsidRPr="00011D7B">
        <w:t xml:space="preserve">Inspiring Protected Area </w:t>
      </w:r>
      <w:hyperlink r:id="rId16" w:history="1">
        <w:r w:rsidR="00591B94" w:rsidRPr="00011D7B">
          <w:rPr>
            <w:rFonts w:eastAsia="Times New Roman" w:cs="Times New Roman"/>
            <w:b/>
            <w:bCs/>
            <w:color w:val="005777"/>
            <w:u w:val="single"/>
            <w:lang w:val="en-US" w:eastAsia="en-GB"/>
          </w:rPr>
          <w:t>Solutions</w:t>
        </w:r>
      </w:hyperlink>
      <w:r w:rsidR="00DF6ED5" w:rsidRPr="00011D7B">
        <w:rPr>
          <w:rFonts w:eastAsia="Times New Roman" w:cs="Times New Roman"/>
          <w:b/>
          <w:bCs/>
          <w:color w:val="005777"/>
          <w:u w:val="single"/>
          <w:lang w:val="en-US" w:eastAsia="en-GB"/>
        </w:rPr>
        <w:t xml:space="preserve"> </w:t>
      </w:r>
    </w:p>
    <w:p w:rsidR="00456E34" w:rsidRPr="003B6FC7" w:rsidRDefault="000B5157" w:rsidP="00CA3291">
      <w:pPr>
        <w:pStyle w:val="ListParagraph"/>
        <w:numPr>
          <w:ilvl w:val="0"/>
          <w:numId w:val="3"/>
        </w:numPr>
        <w:shd w:val="clear" w:color="auto" w:fill="FFFFFF"/>
        <w:spacing w:after="0" w:line="240" w:lineRule="auto"/>
        <w:rPr>
          <w:rFonts w:eastAsia="Times New Roman" w:cs="Times New Roman"/>
          <w:lang w:val="en-US" w:eastAsia="en-GB"/>
        </w:rPr>
      </w:pPr>
      <w:hyperlink r:id="rId17" w:history="1">
        <w:r w:rsidR="00591B94" w:rsidRPr="003B6FC7">
          <w:rPr>
            <w:rFonts w:eastAsia="Times New Roman" w:cs="Times New Roman"/>
            <w:b/>
            <w:bCs/>
            <w:color w:val="005777"/>
            <w:u w:val="single"/>
            <w:lang w:val="en-US" w:eastAsia="en-GB"/>
          </w:rPr>
          <w:t>Promises:</w:t>
        </w:r>
      </w:hyperlink>
      <w:r w:rsidR="00591B94" w:rsidRPr="003B6FC7">
        <w:rPr>
          <w:rFonts w:eastAsia="Times New Roman" w:cs="Times New Roman"/>
          <w:lang w:val="en-US" w:eastAsia="en-GB"/>
        </w:rPr>
        <w:t xml:space="preserve"> pledges by countries, funders, </w:t>
      </w:r>
      <w:r w:rsidR="00456E34" w:rsidRPr="003B6FC7">
        <w:rPr>
          <w:rFonts w:eastAsia="Times New Roman" w:cs="Times New Roman"/>
          <w:lang w:val="en-US" w:eastAsia="en-GB"/>
        </w:rPr>
        <w:t xml:space="preserve">and other </w:t>
      </w:r>
      <w:r w:rsidR="00591B94" w:rsidRPr="003B6FC7">
        <w:rPr>
          <w:rFonts w:eastAsia="Times New Roman" w:cs="Times New Roman"/>
          <w:lang w:val="en-US" w:eastAsia="en-GB"/>
        </w:rPr>
        <w:t xml:space="preserve">organizations </w:t>
      </w:r>
      <w:r w:rsidR="00DF6ED5" w:rsidRPr="003B6FC7">
        <w:rPr>
          <w:rFonts w:eastAsia="Times New Roman" w:cs="Times New Roman"/>
          <w:lang w:val="en-US" w:eastAsia="en-GB"/>
        </w:rPr>
        <w:t>related to</w:t>
      </w:r>
      <w:r w:rsidR="00456E34" w:rsidRPr="003B6FC7">
        <w:rPr>
          <w:rFonts w:eastAsia="Times New Roman" w:cs="Times New Roman"/>
          <w:lang w:val="en-US" w:eastAsia="en-GB"/>
        </w:rPr>
        <w:t xml:space="preserve"> protected areas</w:t>
      </w:r>
      <w:r w:rsidR="00591B94" w:rsidRPr="003B6FC7">
        <w:rPr>
          <w:rFonts w:eastAsia="Times New Roman" w:cs="Times New Roman"/>
          <w:lang w:val="en-US" w:eastAsia="en-GB"/>
        </w:rPr>
        <w:t xml:space="preserve">. </w:t>
      </w:r>
      <w:r w:rsidR="00707B57" w:rsidRPr="003B6FC7">
        <w:rPr>
          <w:rFonts w:eastAsia="Times New Roman" w:cs="Times New Roman"/>
          <w:lang w:val="en-US" w:eastAsia="en-GB"/>
        </w:rPr>
        <w:t>S</w:t>
      </w:r>
      <w:r w:rsidR="005F6149" w:rsidRPr="003B6FC7">
        <w:rPr>
          <w:rFonts w:eastAsia="Times New Roman" w:cs="Times New Roman"/>
          <w:lang w:val="en-US" w:eastAsia="en-GB"/>
        </w:rPr>
        <w:t xml:space="preserve">pecific marine </w:t>
      </w:r>
      <w:r w:rsidR="00011D7B" w:rsidRPr="003B6FC7">
        <w:rPr>
          <w:rFonts w:eastAsia="Times New Roman" w:cs="Times New Roman"/>
          <w:lang w:val="en-US" w:eastAsia="en-GB"/>
        </w:rPr>
        <w:t>promises</w:t>
      </w:r>
      <w:r w:rsidR="003B6FC7">
        <w:rPr>
          <w:rFonts w:eastAsia="Times New Roman" w:cs="Times New Roman"/>
          <w:lang w:val="en-US" w:eastAsia="en-GB"/>
        </w:rPr>
        <w:t xml:space="preserve"> include</w:t>
      </w:r>
      <w:r w:rsidR="005F6149" w:rsidRPr="003B6FC7">
        <w:rPr>
          <w:rFonts w:eastAsia="Times New Roman" w:cs="Times New Roman"/>
          <w:lang w:val="en-US" w:eastAsia="en-GB"/>
        </w:rPr>
        <w:t>:</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Australia </w:t>
      </w:r>
      <w:r w:rsidR="00C506FE" w:rsidRPr="00011D7B">
        <w:rPr>
          <w:rFonts w:eastAsia="Times New Roman" w:cs="Times New Roman"/>
          <w:b/>
          <w:bCs/>
          <w:lang w:val="en-US" w:eastAsia="en-GB"/>
        </w:rPr>
        <w:t>–</w:t>
      </w:r>
      <w:r w:rsidR="00707B57" w:rsidRPr="00011D7B">
        <w:rPr>
          <w:rFonts w:eastAsia="Times New Roman" w:cs="Times New Roman"/>
          <w:b/>
          <w:bCs/>
          <w:lang w:val="en-US" w:eastAsia="en-GB"/>
        </w:rPr>
        <w:t xml:space="preserve"> </w:t>
      </w:r>
      <w:r w:rsidRPr="00011D7B">
        <w:rPr>
          <w:rFonts w:eastAsia="Times New Roman" w:cs="Times New Roman"/>
          <w:lang w:val="en-US" w:eastAsia="en-GB"/>
        </w:rPr>
        <w:t>AU</w:t>
      </w:r>
      <w:r w:rsidR="00C506FE" w:rsidRPr="00011D7B">
        <w:rPr>
          <w:rFonts w:eastAsia="Times New Roman" w:cs="Times New Roman"/>
          <w:lang w:val="en-US" w:eastAsia="en-GB"/>
        </w:rPr>
        <w:t>$</w:t>
      </w:r>
      <w:r w:rsidRPr="00011D7B">
        <w:rPr>
          <w:rFonts w:eastAsia="Times New Roman" w:cs="Times New Roman"/>
          <w:lang w:val="en-US" w:eastAsia="en-GB"/>
        </w:rPr>
        <w:t xml:space="preserve">6 million to support Coral Triangle marine protection and new initiatives to protect the Great Barrier Reef </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Bangladesh</w:t>
      </w:r>
      <w:r w:rsidRPr="00011D7B">
        <w:rPr>
          <w:rFonts w:eastAsia="Times New Roman" w:cs="Times New Roman"/>
          <w:lang w:val="en-US" w:eastAsia="en-GB"/>
        </w:rPr>
        <w:t> </w:t>
      </w:r>
      <w:r w:rsidR="00707B57" w:rsidRPr="00011D7B">
        <w:rPr>
          <w:rFonts w:eastAsia="Times New Roman" w:cs="Times New Roman"/>
          <w:lang w:val="en-US" w:eastAsia="en-GB"/>
        </w:rPr>
        <w:t xml:space="preserve">– </w:t>
      </w:r>
      <w:r w:rsidRPr="00011D7B">
        <w:rPr>
          <w:rFonts w:eastAsia="Times New Roman" w:cs="Times New Roman"/>
          <w:lang w:val="en-US" w:eastAsia="en-GB"/>
        </w:rPr>
        <w:t>creat</w:t>
      </w:r>
      <w:r w:rsidR="00707B57" w:rsidRPr="00011D7B">
        <w:rPr>
          <w:rFonts w:eastAsia="Times New Roman" w:cs="Times New Roman"/>
          <w:lang w:val="en-US" w:eastAsia="en-GB"/>
        </w:rPr>
        <w:t>ion of</w:t>
      </w:r>
      <w:r w:rsidRPr="00011D7B">
        <w:rPr>
          <w:rFonts w:eastAsia="Times New Roman" w:cs="Times New Roman"/>
          <w:lang w:val="en-US" w:eastAsia="en-GB"/>
        </w:rPr>
        <w:t xml:space="preserve"> the country’s first MPA (Swatch of No Ground)</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Brazil </w:t>
      </w:r>
      <w:r w:rsidR="00707B57" w:rsidRPr="00011D7B">
        <w:rPr>
          <w:rFonts w:eastAsia="Times New Roman" w:cs="Times New Roman"/>
          <w:b/>
          <w:bCs/>
          <w:lang w:val="en-US" w:eastAsia="en-GB"/>
        </w:rPr>
        <w:t xml:space="preserve">– </w:t>
      </w:r>
      <w:r w:rsidRPr="00011D7B">
        <w:rPr>
          <w:rFonts w:eastAsia="Times New Roman" w:cs="Times New Roman"/>
          <w:lang w:val="en-US" w:eastAsia="en-GB"/>
        </w:rPr>
        <w:t>protect</w:t>
      </w:r>
      <w:r w:rsidR="00707B57" w:rsidRPr="00011D7B">
        <w:rPr>
          <w:rFonts w:eastAsia="Times New Roman" w:cs="Times New Roman"/>
          <w:lang w:val="en-US" w:eastAsia="en-GB"/>
        </w:rPr>
        <w:t xml:space="preserve">ion of </w:t>
      </w:r>
      <w:r w:rsidRPr="00011D7B">
        <w:rPr>
          <w:rFonts w:eastAsia="Times New Roman" w:cs="Times New Roman"/>
          <w:lang w:val="en-US" w:eastAsia="en-GB"/>
        </w:rPr>
        <w:t xml:space="preserve"> 5% of its marine waters </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French Polynesia </w:t>
      </w:r>
      <w:r w:rsidR="00707B57" w:rsidRPr="00011D7B">
        <w:rPr>
          <w:rFonts w:eastAsia="Times New Roman" w:cs="Times New Roman"/>
          <w:b/>
          <w:bCs/>
          <w:lang w:val="en-US" w:eastAsia="en-GB"/>
        </w:rPr>
        <w:t xml:space="preserve">– </w:t>
      </w:r>
      <w:r w:rsidRPr="00011D7B">
        <w:rPr>
          <w:rFonts w:eastAsia="Times New Roman" w:cs="Times New Roman"/>
          <w:lang w:val="en-US" w:eastAsia="en-GB"/>
        </w:rPr>
        <w:t>creat</w:t>
      </w:r>
      <w:r w:rsidR="00707B57" w:rsidRPr="00011D7B">
        <w:rPr>
          <w:rFonts w:eastAsia="Times New Roman" w:cs="Times New Roman"/>
          <w:lang w:val="en-US" w:eastAsia="en-GB"/>
        </w:rPr>
        <w:t>ion of</w:t>
      </w:r>
      <w:r w:rsidRPr="00011D7B">
        <w:rPr>
          <w:rFonts w:eastAsia="Times New Roman" w:cs="Times New Roman"/>
          <w:lang w:val="en-US" w:eastAsia="en-GB"/>
        </w:rPr>
        <w:t xml:space="preserve"> a new large-scale MPA initiative in the Austral Islands.</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Gabon</w:t>
      </w:r>
      <w:r w:rsidRPr="00011D7B">
        <w:rPr>
          <w:rFonts w:eastAsia="Times New Roman" w:cs="Times New Roman"/>
          <w:lang w:val="en-US" w:eastAsia="en-GB"/>
        </w:rPr>
        <w:t> </w:t>
      </w:r>
      <w:r w:rsidR="00FD7319" w:rsidRPr="00011D7B">
        <w:rPr>
          <w:rFonts w:eastAsia="Times New Roman" w:cs="Times New Roman"/>
          <w:lang w:val="en-US" w:eastAsia="en-GB"/>
        </w:rPr>
        <w:t>–</w:t>
      </w:r>
      <w:r w:rsidRPr="00011D7B">
        <w:rPr>
          <w:rFonts w:eastAsia="Times New Roman" w:cs="Times New Roman"/>
          <w:lang w:val="en-US" w:eastAsia="en-GB"/>
        </w:rPr>
        <w:t xml:space="preserve"> creat</w:t>
      </w:r>
      <w:r w:rsidR="00FD7319" w:rsidRPr="00011D7B">
        <w:rPr>
          <w:rFonts w:eastAsia="Times New Roman" w:cs="Times New Roman"/>
          <w:lang w:val="en-US" w:eastAsia="en-GB"/>
        </w:rPr>
        <w:t xml:space="preserve">ion of </w:t>
      </w:r>
      <w:r w:rsidRPr="00011D7B">
        <w:rPr>
          <w:rFonts w:eastAsia="Times New Roman" w:cs="Times New Roman"/>
          <w:lang w:val="en-US" w:eastAsia="en-GB"/>
        </w:rPr>
        <w:t>a network of new MPAs equivalent to 23% of its marine waters (46,000 km</w:t>
      </w:r>
      <w:r w:rsidR="00C506FE" w:rsidRPr="00011D7B">
        <w:rPr>
          <w:rFonts w:eastAsia="Times New Roman" w:cs="Times New Roman"/>
          <w:vertAlign w:val="superscript"/>
          <w:lang w:val="en-US" w:eastAsia="en-GB"/>
        </w:rPr>
        <w:t>2</w:t>
      </w:r>
      <w:r w:rsidRPr="00011D7B">
        <w:rPr>
          <w:rFonts w:eastAsia="Times New Roman" w:cs="Times New Roman"/>
          <w:lang w:val="en-US" w:eastAsia="en-GB"/>
        </w:rPr>
        <w:t>), which will bar commercial fishing.</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Republic of Kiribati </w:t>
      </w:r>
      <w:r w:rsidR="00C506FE" w:rsidRPr="00011D7B">
        <w:rPr>
          <w:rFonts w:eastAsia="Times New Roman" w:cs="Times New Roman"/>
          <w:b/>
          <w:bCs/>
          <w:lang w:val="en-US" w:eastAsia="en-GB"/>
        </w:rPr>
        <w:t xml:space="preserve">- </w:t>
      </w:r>
      <w:r w:rsidRPr="00011D7B">
        <w:rPr>
          <w:rFonts w:eastAsia="Times New Roman" w:cs="Times New Roman"/>
          <w:lang w:val="en-US" w:eastAsia="en-GB"/>
        </w:rPr>
        <w:t xml:space="preserve"> agreement with the </w:t>
      </w:r>
      <w:r w:rsidRPr="00011D7B">
        <w:rPr>
          <w:rFonts w:eastAsia="Times New Roman" w:cs="Times New Roman"/>
          <w:b/>
          <w:bCs/>
          <w:lang w:val="en-US" w:eastAsia="en-GB"/>
        </w:rPr>
        <w:t>United States of America</w:t>
      </w:r>
      <w:r w:rsidRPr="00011D7B">
        <w:rPr>
          <w:rFonts w:eastAsia="Times New Roman" w:cs="Times New Roman"/>
          <w:lang w:val="en-US" w:eastAsia="en-GB"/>
        </w:rPr>
        <w:t xml:space="preserve"> to jointly conserve nearly 490,000 </w:t>
      </w:r>
      <w:proofErr w:type="spellStart"/>
      <w:r w:rsidRPr="00011D7B">
        <w:rPr>
          <w:rFonts w:eastAsia="Times New Roman" w:cs="Times New Roman"/>
          <w:lang w:val="en-US" w:eastAsia="en-GB"/>
        </w:rPr>
        <w:t>sq</w:t>
      </w:r>
      <w:proofErr w:type="spellEnd"/>
      <w:r w:rsidR="00C506FE" w:rsidRPr="00011D7B">
        <w:rPr>
          <w:rFonts w:eastAsia="Times New Roman" w:cs="Times New Roman"/>
          <w:lang w:val="en-US" w:eastAsia="en-GB"/>
        </w:rPr>
        <w:t xml:space="preserve"> n mi</w:t>
      </w:r>
      <w:r w:rsidRPr="00011D7B">
        <w:rPr>
          <w:rFonts w:eastAsia="Times New Roman" w:cs="Times New Roman"/>
          <w:lang w:val="en-US" w:eastAsia="en-GB"/>
        </w:rPr>
        <w:t xml:space="preserve"> in the Pacific Remote Islands Marine National Monument </w:t>
      </w:r>
      <w:r w:rsidR="00707B57" w:rsidRPr="00011D7B">
        <w:rPr>
          <w:rFonts w:eastAsia="Times New Roman" w:cs="Times New Roman"/>
          <w:lang w:val="en-US" w:eastAsia="en-GB"/>
        </w:rPr>
        <w:t>(USA)</w:t>
      </w:r>
      <w:r w:rsidRPr="00011D7B">
        <w:rPr>
          <w:rFonts w:eastAsia="Times New Roman" w:cs="Times New Roman"/>
          <w:lang w:val="en-US" w:eastAsia="en-GB"/>
        </w:rPr>
        <w:t xml:space="preserve"> and the Phoenix Islands Protected Area </w:t>
      </w:r>
      <w:r w:rsidR="00707B57" w:rsidRPr="00011D7B">
        <w:rPr>
          <w:rFonts w:eastAsia="Times New Roman" w:cs="Times New Roman"/>
          <w:lang w:val="en-US" w:eastAsia="en-GB"/>
        </w:rPr>
        <w:t>(</w:t>
      </w:r>
      <w:r w:rsidRPr="00011D7B">
        <w:rPr>
          <w:rFonts w:eastAsia="Times New Roman" w:cs="Times New Roman"/>
          <w:lang w:val="en-US" w:eastAsia="en-GB"/>
        </w:rPr>
        <w:t>Kiribati</w:t>
      </w:r>
      <w:r w:rsidR="00C506FE" w:rsidRPr="00011D7B">
        <w:rPr>
          <w:rFonts w:eastAsia="Times New Roman" w:cs="Times New Roman"/>
          <w:lang w:val="en-US" w:eastAsia="en-GB"/>
        </w:rPr>
        <w:t>)</w:t>
      </w:r>
      <w:r w:rsidRPr="00011D7B">
        <w:rPr>
          <w:rFonts w:eastAsia="Times New Roman" w:cs="Times New Roman"/>
          <w:lang w:val="en-US" w:eastAsia="en-GB"/>
        </w:rPr>
        <w:t>.</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Madagascar </w:t>
      </w:r>
      <w:r w:rsidR="00C506FE" w:rsidRPr="00011D7B">
        <w:rPr>
          <w:rFonts w:eastAsia="Times New Roman" w:cs="Times New Roman"/>
          <w:b/>
          <w:bCs/>
          <w:lang w:val="en-US" w:eastAsia="en-GB"/>
        </w:rPr>
        <w:t>–</w:t>
      </w:r>
      <w:r w:rsidRPr="00011D7B">
        <w:rPr>
          <w:rFonts w:eastAsia="Times New Roman" w:cs="Times New Roman"/>
          <w:lang w:val="en-US" w:eastAsia="en-GB"/>
        </w:rPr>
        <w:t xml:space="preserve"> tripl</w:t>
      </w:r>
      <w:r w:rsidR="00C506FE" w:rsidRPr="00011D7B">
        <w:rPr>
          <w:rFonts w:eastAsia="Times New Roman" w:cs="Times New Roman"/>
          <w:lang w:val="en-US" w:eastAsia="en-GB"/>
        </w:rPr>
        <w:t>ing of</w:t>
      </w:r>
      <w:r w:rsidRPr="00011D7B">
        <w:rPr>
          <w:rFonts w:eastAsia="Times New Roman" w:cs="Times New Roman"/>
          <w:lang w:val="en-US" w:eastAsia="en-GB"/>
        </w:rPr>
        <w:t xml:space="preserve"> its </w:t>
      </w:r>
      <w:r w:rsidR="00707B57" w:rsidRPr="00011D7B">
        <w:rPr>
          <w:rFonts w:eastAsia="Times New Roman" w:cs="Times New Roman"/>
          <w:lang w:val="en-US" w:eastAsia="en-GB"/>
        </w:rPr>
        <w:t>MPAs</w:t>
      </w:r>
      <w:r w:rsidRPr="00011D7B">
        <w:rPr>
          <w:rFonts w:eastAsia="Times New Roman" w:cs="Times New Roman"/>
          <w:lang w:val="en-US" w:eastAsia="en-GB"/>
        </w:rPr>
        <w:t xml:space="preserve"> </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Russia</w:t>
      </w:r>
      <w:r w:rsidRPr="00011D7B">
        <w:rPr>
          <w:rFonts w:eastAsia="Times New Roman" w:cs="Times New Roman"/>
          <w:lang w:val="en-US" w:eastAsia="en-GB"/>
        </w:rPr>
        <w:t> </w:t>
      </w:r>
      <w:r w:rsidR="00EC21B0" w:rsidRPr="00011D7B">
        <w:rPr>
          <w:rFonts w:eastAsia="Times New Roman" w:cs="Times New Roman"/>
          <w:lang w:val="en-US" w:eastAsia="en-GB"/>
        </w:rPr>
        <w:t xml:space="preserve">- </w:t>
      </w:r>
      <w:r w:rsidRPr="00011D7B">
        <w:rPr>
          <w:rFonts w:eastAsia="Times New Roman" w:cs="Times New Roman"/>
          <w:lang w:val="en-US" w:eastAsia="en-GB"/>
        </w:rPr>
        <w:t xml:space="preserve">increasing MPAs by 28% </w:t>
      </w:r>
      <w:r w:rsidR="00EC21B0" w:rsidRPr="00011D7B">
        <w:rPr>
          <w:rFonts w:eastAsia="Times New Roman" w:cs="Times New Roman"/>
          <w:lang w:val="en-US" w:eastAsia="en-GB"/>
        </w:rPr>
        <w:t>(i.e. a further</w:t>
      </w:r>
      <w:r w:rsidRPr="00011D7B">
        <w:rPr>
          <w:rFonts w:eastAsia="Times New Roman" w:cs="Times New Roman"/>
          <w:lang w:val="en-US" w:eastAsia="en-GB"/>
        </w:rPr>
        <w:t xml:space="preserve"> 17 million h</w:t>
      </w:r>
      <w:r w:rsidR="00707B57" w:rsidRPr="00011D7B">
        <w:rPr>
          <w:rFonts w:eastAsia="Times New Roman" w:cs="Times New Roman"/>
          <w:lang w:val="en-US" w:eastAsia="en-GB"/>
        </w:rPr>
        <w:t>a</w:t>
      </w:r>
      <w:r w:rsidR="00EC21B0" w:rsidRPr="00011D7B">
        <w:rPr>
          <w:rFonts w:eastAsia="Times New Roman" w:cs="Times New Roman"/>
          <w:lang w:val="en-US" w:eastAsia="en-GB"/>
        </w:rPr>
        <w:t>)</w:t>
      </w:r>
      <w:r w:rsidRPr="00011D7B">
        <w:rPr>
          <w:rFonts w:eastAsia="Times New Roman" w:cs="Times New Roman"/>
          <w:lang w:val="en-US" w:eastAsia="en-GB"/>
        </w:rPr>
        <w:t xml:space="preserve">. </w:t>
      </w:r>
    </w:p>
    <w:p w:rsidR="005F6149" w:rsidRPr="00011D7B" w:rsidRDefault="005F6149" w:rsidP="00CA3291">
      <w:pPr>
        <w:pStyle w:val="ListParagraph"/>
        <w:numPr>
          <w:ilvl w:val="0"/>
          <w:numId w:val="2"/>
        </w:numPr>
        <w:shd w:val="clear" w:color="auto" w:fill="FFFFFF"/>
        <w:spacing w:after="0" w:line="240" w:lineRule="auto"/>
        <w:rPr>
          <w:rFonts w:eastAsia="Times New Roman" w:cs="Times New Roman"/>
          <w:lang w:val="en-US" w:eastAsia="en-GB"/>
        </w:rPr>
      </w:pPr>
      <w:r w:rsidRPr="00011D7B">
        <w:rPr>
          <w:rFonts w:eastAsia="Times New Roman" w:cs="Times New Roman"/>
          <w:b/>
          <w:bCs/>
          <w:lang w:val="en-US" w:eastAsia="en-GB"/>
        </w:rPr>
        <w:t>South Africa</w:t>
      </w:r>
      <w:r w:rsidRPr="00011D7B">
        <w:rPr>
          <w:rFonts w:eastAsia="Times New Roman" w:cs="Times New Roman"/>
          <w:lang w:val="en-US" w:eastAsia="en-GB"/>
        </w:rPr>
        <w:t xml:space="preserve"> </w:t>
      </w:r>
      <w:r w:rsidR="00C506FE" w:rsidRPr="00011D7B">
        <w:rPr>
          <w:rFonts w:eastAsia="Times New Roman" w:cs="Times New Roman"/>
          <w:lang w:val="en-US" w:eastAsia="en-GB"/>
        </w:rPr>
        <w:t xml:space="preserve">- </w:t>
      </w:r>
      <w:r w:rsidRPr="00011D7B">
        <w:rPr>
          <w:rFonts w:eastAsia="Times New Roman" w:cs="Times New Roman"/>
          <w:lang w:val="en-US" w:eastAsia="en-GB"/>
        </w:rPr>
        <w:t>tripl</w:t>
      </w:r>
      <w:r w:rsidR="00C506FE" w:rsidRPr="00011D7B">
        <w:rPr>
          <w:rFonts w:eastAsia="Times New Roman" w:cs="Times New Roman"/>
          <w:lang w:val="en-US" w:eastAsia="en-GB"/>
        </w:rPr>
        <w:t>ing</w:t>
      </w:r>
      <w:r w:rsidRPr="00011D7B">
        <w:rPr>
          <w:rFonts w:eastAsia="Times New Roman" w:cs="Times New Roman"/>
          <w:lang w:val="en-US" w:eastAsia="en-GB"/>
        </w:rPr>
        <w:t xml:space="preserve"> ocean protection in the next 10 years</w:t>
      </w:r>
    </w:p>
    <w:p w:rsidR="00591B94" w:rsidRPr="00011D7B" w:rsidRDefault="00591B94" w:rsidP="00CA3291">
      <w:pPr>
        <w:spacing w:after="0" w:line="240" w:lineRule="auto"/>
        <w:rPr>
          <w:lang w:val="en-US"/>
        </w:rPr>
      </w:pPr>
    </w:p>
    <w:p w:rsidR="00C543A9" w:rsidRPr="00011D7B" w:rsidRDefault="00C506FE" w:rsidP="00C506FE">
      <w:pPr>
        <w:shd w:val="clear" w:color="auto" w:fill="FFFFFF"/>
        <w:spacing w:after="0" w:line="240" w:lineRule="auto"/>
      </w:pPr>
      <w:r w:rsidRPr="00011D7B">
        <w:rPr>
          <w:rFonts w:eastAsia="Times New Roman" w:cs="Times New Roman"/>
          <w:lang w:val="en-US" w:eastAsia="en-GB"/>
        </w:rPr>
        <w:t>There are also plans to hold what are being called “</w:t>
      </w:r>
      <w:r w:rsidR="00F876A3" w:rsidRPr="00011D7B">
        <w:t>Little Sydney</w:t>
      </w:r>
      <w:r w:rsidRPr="00011D7B">
        <w:t>” meetings at regional level during 2015</w:t>
      </w:r>
      <w:r w:rsidR="001A12B1">
        <w:t>, to take forward the WPC recommendations and continue the debate more locally</w:t>
      </w:r>
      <w:r w:rsidRPr="00011D7B">
        <w:t xml:space="preserve">.  </w:t>
      </w:r>
      <w:r w:rsidR="001A12B1">
        <w:t xml:space="preserve">A </w:t>
      </w:r>
      <w:r w:rsidRPr="00011D7B">
        <w:t>Europe</w:t>
      </w:r>
      <w:r w:rsidR="001A12B1">
        <w:t>an</w:t>
      </w:r>
      <w:r w:rsidRPr="00011D7B">
        <w:t xml:space="preserve"> </w:t>
      </w:r>
      <w:r w:rsidR="001A12B1">
        <w:t>“</w:t>
      </w:r>
      <w:r w:rsidRPr="00011D7B">
        <w:t>Little Sydney</w:t>
      </w:r>
      <w:r w:rsidR="001A12B1">
        <w:t>”</w:t>
      </w:r>
      <w:r w:rsidRPr="00011D7B">
        <w:t xml:space="preserve"> will take place </w:t>
      </w:r>
      <w:r w:rsidR="00942AF0">
        <w:t xml:space="preserve">in Austria in May 2015, and discussions are starting to ensure that marine </w:t>
      </w:r>
      <w:r w:rsidR="001A12B1">
        <w:t xml:space="preserve">issues are </w:t>
      </w:r>
      <w:r w:rsidR="00942AF0">
        <w:t>adequately covered</w:t>
      </w:r>
      <w:r w:rsidR="001A12B1">
        <w:t xml:space="preserve">. </w:t>
      </w:r>
      <w:r w:rsidR="009E39FE">
        <w:t>In addition, the IUCN National Committee</w:t>
      </w:r>
      <w:r w:rsidR="001A12B1">
        <w:t xml:space="preserve"> </w:t>
      </w:r>
      <w:r w:rsidR="009E39FE">
        <w:t>UK is holding a one-day follow up event to the WPC (</w:t>
      </w:r>
      <w:r w:rsidR="009E39FE" w:rsidRPr="009E39FE">
        <w:rPr>
          <w:i/>
        </w:rPr>
        <w:t>Protected Areas – Implications of the Global Agenda</w:t>
      </w:r>
      <w:r w:rsidR="009E39FE">
        <w:t>) in Edinburgh on Feb 9</w:t>
      </w:r>
      <w:r w:rsidR="009E39FE" w:rsidRPr="009E39FE">
        <w:rPr>
          <w:vertAlign w:val="superscript"/>
        </w:rPr>
        <w:t>th</w:t>
      </w:r>
      <w:r w:rsidR="009E39FE">
        <w:t xml:space="preserve"> (www.iucn-org.uk). </w:t>
      </w:r>
      <w:r w:rsidR="001A12B1">
        <w:t>Th</w:t>
      </w:r>
      <w:r w:rsidR="009E39FE">
        <w:t>e</w:t>
      </w:r>
      <w:r w:rsidR="001A12B1">
        <w:t>s</w:t>
      </w:r>
      <w:r w:rsidR="009E39FE">
        <w:t>e</w:t>
      </w:r>
      <w:r w:rsidR="001A12B1">
        <w:t xml:space="preserve"> event</w:t>
      </w:r>
      <w:r w:rsidR="009E39FE">
        <w:t>s</w:t>
      </w:r>
      <w:r w:rsidR="00F43533">
        <w:t xml:space="preserve"> provide an opportunity for the UK to engage in</w:t>
      </w:r>
      <w:r w:rsidR="003B304B">
        <w:t xml:space="preserve"> the</w:t>
      </w:r>
      <w:r w:rsidR="001A12B1">
        <w:t>se important</w:t>
      </w:r>
      <w:r w:rsidR="003B304B">
        <w:t xml:space="preserve"> global discussions</w:t>
      </w:r>
      <w:r w:rsidR="00942AF0">
        <w:t>.</w:t>
      </w:r>
    </w:p>
    <w:p w:rsidR="00A74785" w:rsidRPr="00011D7B" w:rsidRDefault="00A74785" w:rsidP="00CA3291">
      <w:pPr>
        <w:spacing w:after="0" w:line="240" w:lineRule="auto"/>
      </w:pPr>
    </w:p>
    <w:p w:rsidR="003B0F0F" w:rsidRPr="00011D7B" w:rsidRDefault="003B0F0F" w:rsidP="003B0F0F">
      <w:pPr>
        <w:spacing w:after="0" w:line="240" w:lineRule="auto"/>
        <w:rPr>
          <w:rFonts w:cs="HelveticaNeueLTPro-Lt"/>
        </w:rPr>
      </w:pPr>
    </w:p>
    <w:p w:rsidR="003B0F0F" w:rsidRPr="00011D7B" w:rsidRDefault="003B0F0F" w:rsidP="00A74785">
      <w:pPr>
        <w:spacing w:after="0" w:line="240" w:lineRule="auto"/>
        <w:rPr>
          <w:rFonts w:cs="OpenSans"/>
          <w:color w:val="000000"/>
        </w:rPr>
      </w:pPr>
    </w:p>
    <w:p w:rsidR="003B0F0F" w:rsidRPr="00011D7B" w:rsidRDefault="003B0F0F" w:rsidP="00A74785">
      <w:pPr>
        <w:spacing w:after="0" w:line="240" w:lineRule="auto"/>
        <w:rPr>
          <w:rFonts w:cs="OpenSans"/>
          <w:color w:val="000000"/>
        </w:rPr>
      </w:pPr>
    </w:p>
    <w:p w:rsidR="003B0F0F" w:rsidRPr="00011D7B" w:rsidRDefault="003B0F0F" w:rsidP="00A74785">
      <w:pPr>
        <w:spacing w:after="0" w:line="240" w:lineRule="auto"/>
      </w:pPr>
    </w:p>
    <w:p w:rsidR="00011D7B" w:rsidRPr="00011D7B" w:rsidRDefault="00011D7B">
      <w:pPr>
        <w:spacing w:after="0" w:line="240" w:lineRule="auto"/>
      </w:pPr>
    </w:p>
    <w:sectPr w:rsidR="00011D7B" w:rsidRPr="00011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OpenSans-Identity-H">
    <w:panose1 w:val="00000000000000000000"/>
    <w:charset w:val="00"/>
    <w:family w:val="auto"/>
    <w:notTrueType/>
    <w:pitch w:val="default"/>
    <w:sig w:usb0="00000003" w:usb1="00000000" w:usb2="00000000" w:usb3="00000000" w:csb0="00000001" w:csb1="00000000"/>
  </w:font>
  <w:font w:name="HelveticaNeueLTPro-Lt">
    <w:panose1 w:val="00000000000000000000"/>
    <w:charset w:val="00"/>
    <w:family w:val="swiss"/>
    <w:notTrueType/>
    <w:pitch w:val="default"/>
    <w:sig w:usb0="00000003" w:usb1="00000000" w:usb2="00000000" w:usb3="00000000" w:csb0="00000001" w:csb1="00000000"/>
  </w:font>
  <w:font w:name="Open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5122C"/>
    <w:multiLevelType w:val="multilevel"/>
    <w:tmpl w:val="B068009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B5DC3"/>
    <w:multiLevelType w:val="multilevel"/>
    <w:tmpl w:val="9CE8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3C1694"/>
    <w:multiLevelType w:val="multilevel"/>
    <w:tmpl w:val="9EBE521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22"/>
    <w:rsid w:val="00007270"/>
    <w:rsid w:val="00011D7B"/>
    <w:rsid w:val="00075E49"/>
    <w:rsid w:val="000B5157"/>
    <w:rsid w:val="00160D6C"/>
    <w:rsid w:val="00181728"/>
    <w:rsid w:val="001A12B1"/>
    <w:rsid w:val="00211996"/>
    <w:rsid w:val="00257CC4"/>
    <w:rsid w:val="00261F89"/>
    <w:rsid w:val="002761A0"/>
    <w:rsid w:val="002C1DA3"/>
    <w:rsid w:val="00366F07"/>
    <w:rsid w:val="003B0F0F"/>
    <w:rsid w:val="003B304B"/>
    <w:rsid w:val="003B6FC7"/>
    <w:rsid w:val="003F24FB"/>
    <w:rsid w:val="00456E34"/>
    <w:rsid w:val="004F0A00"/>
    <w:rsid w:val="00533AE5"/>
    <w:rsid w:val="00584022"/>
    <w:rsid w:val="00591B94"/>
    <w:rsid w:val="005958F8"/>
    <w:rsid w:val="005E1984"/>
    <w:rsid w:val="005F6149"/>
    <w:rsid w:val="006062B6"/>
    <w:rsid w:val="006136BB"/>
    <w:rsid w:val="006D0590"/>
    <w:rsid w:val="00707B57"/>
    <w:rsid w:val="007265F6"/>
    <w:rsid w:val="007C38D2"/>
    <w:rsid w:val="007D149C"/>
    <w:rsid w:val="0087381C"/>
    <w:rsid w:val="008B4A22"/>
    <w:rsid w:val="008C03CD"/>
    <w:rsid w:val="00922F3B"/>
    <w:rsid w:val="00942AF0"/>
    <w:rsid w:val="00965B64"/>
    <w:rsid w:val="009D6CCD"/>
    <w:rsid w:val="009E39FE"/>
    <w:rsid w:val="00A606E0"/>
    <w:rsid w:val="00A74785"/>
    <w:rsid w:val="00AB1FE5"/>
    <w:rsid w:val="00AB2D14"/>
    <w:rsid w:val="00AC7086"/>
    <w:rsid w:val="00B31AF2"/>
    <w:rsid w:val="00BC4ADD"/>
    <w:rsid w:val="00BF254B"/>
    <w:rsid w:val="00BF31DE"/>
    <w:rsid w:val="00C14947"/>
    <w:rsid w:val="00C3662C"/>
    <w:rsid w:val="00C506FE"/>
    <w:rsid w:val="00C543A9"/>
    <w:rsid w:val="00C671DB"/>
    <w:rsid w:val="00C765FB"/>
    <w:rsid w:val="00C851EE"/>
    <w:rsid w:val="00C9147F"/>
    <w:rsid w:val="00CA3291"/>
    <w:rsid w:val="00CF2480"/>
    <w:rsid w:val="00D10FBB"/>
    <w:rsid w:val="00D2234D"/>
    <w:rsid w:val="00D238C2"/>
    <w:rsid w:val="00D3705B"/>
    <w:rsid w:val="00DE4E38"/>
    <w:rsid w:val="00DF6ED5"/>
    <w:rsid w:val="00EB0B06"/>
    <w:rsid w:val="00EC21B0"/>
    <w:rsid w:val="00EF01E2"/>
    <w:rsid w:val="00EF4F1A"/>
    <w:rsid w:val="00F43533"/>
    <w:rsid w:val="00F515DE"/>
    <w:rsid w:val="00F876A3"/>
    <w:rsid w:val="00FC4645"/>
    <w:rsid w:val="00FD024D"/>
    <w:rsid w:val="00FD7319"/>
    <w:rsid w:val="00FF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B94"/>
    <w:rPr>
      <w:b/>
      <w:bCs/>
    </w:rPr>
  </w:style>
  <w:style w:type="paragraph" w:styleId="ListParagraph">
    <w:name w:val="List Paragraph"/>
    <w:basedOn w:val="Normal"/>
    <w:uiPriority w:val="34"/>
    <w:qFormat/>
    <w:rsid w:val="00456E34"/>
    <w:pPr>
      <w:ind w:left="720"/>
      <w:contextualSpacing/>
    </w:pPr>
  </w:style>
  <w:style w:type="character" w:styleId="Emphasis">
    <w:name w:val="Emphasis"/>
    <w:basedOn w:val="DefaultParagraphFont"/>
    <w:uiPriority w:val="20"/>
    <w:qFormat/>
    <w:rsid w:val="00456E34"/>
    <w:rPr>
      <w:i/>
      <w:iCs/>
    </w:rPr>
  </w:style>
  <w:style w:type="character" w:styleId="Hyperlink">
    <w:name w:val="Hyperlink"/>
    <w:basedOn w:val="DefaultParagraphFont"/>
    <w:uiPriority w:val="99"/>
    <w:unhideWhenUsed/>
    <w:rsid w:val="008C03CD"/>
    <w:rPr>
      <w:color w:val="0000FF" w:themeColor="hyperlink"/>
      <w:u w:val="single"/>
    </w:rPr>
  </w:style>
  <w:style w:type="paragraph" w:styleId="PlainText">
    <w:name w:val="Plain Text"/>
    <w:basedOn w:val="Normal"/>
    <w:link w:val="PlainTextChar"/>
    <w:uiPriority w:val="99"/>
    <w:semiHidden/>
    <w:unhideWhenUsed/>
    <w:rsid w:val="00AB1FE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1FE5"/>
    <w:rPr>
      <w:rFonts w:ascii="Calibri" w:hAnsi="Calibri" w:cs="Consolas"/>
      <w:szCs w:val="21"/>
    </w:rPr>
  </w:style>
  <w:style w:type="character" w:styleId="FollowedHyperlink">
    <w:name w:val="FollowedHyperlink"/>
    <w:basedOn w:val="DefaultParagraphFont"/>
    <w:uiPriority w:val="99"/>
    <w:semiHidden/>
    <w:unhideWhenUsed/>
    <w:rsid w:val="002119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B94"/>
    <w:rPr>
      <w:b/>
      <w:bCs/>
    </w:rPr>
  </w:style>
  <w:style w:type="paragraph" w:styleId="ListParagraph">
    <w:name w:val="List Paragraph"/>
    <w:basedOn w:val="Normal"/>
    <w:uiPriority w:val="34"/>
    <w:qFormat/>
    <w:rsid w:val="00456E34"/>
    <w:pPr>
      <w:ind w:left="720"/>
      <w:contextualSpacing/>
    </w:pPr>
  </w:style>
  <w:style w:type="character" w:styleId="Emphasis">
    <w:name w:val="Emphasis"/>
    <w:basedOn w:val="DefaultParagraphFont"/>
    <w:uiPriority w:val="20"/>
    <w:qFormat/>
    <w:rsid w:val="00456E34"/>
    <w:rPr>
      <w:i/>
      <w:iCs/>
    </w:rPr>
  </w:style>
  <w:style w:type="character" w:styleId="Hyperlink">
    <w:name w:val="Hyperlink"/>
    <w:basedOn w:val="DefaultParagraphFont"/>
    <w:uiPriority w:val="99"/>
    <w:unhideWhenUsed/>
    <w:rsid w:val="008C03CD"/>
    <w:rPr>
      <w:color w:val="0000FF" w:themeColor="hyperlink"/>
      <w:u w:val="single"/>
    </w:rPr>
  </w:style>
  <w:style w:type="paragraph" w:styleId="PlainText">
    <w:name w:val="Plain Text"/>
    <w:basedOn w:val="Normal"/>
    <w:link w:val="PlainTextChar"/>
    <w:uiPriority w:val="99"/>
    <w:semiHidden/>
    <w:unhideWhenUsed/>
    <w:rsid w:val="00AB1FE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1FE5"/>
    <w:rPr>
      <w:rFonts w:ascii="Calibri" w:hAnsi="Calibri" w:cs="Consolas"/>
      <w:szCs w:val="21"/>
    </w:rPr>
  </w:style>
  <w:style w:type="character" w:styleId="FollowedHyperlink">
    <w:name w:val="FollowedHyperlink"/>
    <w:basedOn w:val="DefaultParagraphFont"/>
    <w:uiPriority w:val="99"/>
    <w:semiHidden/>
    <w:unhideWhenUsed/>
    <w:rsid w:val="00211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16118">
      <w:bodyDiv w:val="1"/>
      <w:marLeft w:val="0"/>
      <w:marRight w:val="0"/>
      <w:marTop w:val="0"/>
      <w:marBottom w:val="0"/>
      <w:divBdr>
        <w:top w:val="none" w:sz="0" w:space="0" w:color="auto"/>
        <w:left w:val="none" w:sz="0" w:space="0" w:color="auto"/>
        <w:bottom w:val="none" w:sz="0" w:space="0" w:color="auto"/>
        <w:right w:val="none" w:sz="0" w:space="0" w:color="auto"/>
      </w:divBdr>
      <w:divsChild>
        <w:div w:id="2116901890">
          <w:marLeft w:val="0"/>
          <w:marRight w:val="0"/>
          <w:marTop w:val="375"/>
          <w:marBottom w:val="375"/>
          <w:divBdr>
            <w:top w:val="none" w:sz="0" w:space="0" w:color="auto"/>
            <w:left w:val="none" w:sz="0" w:space="0" w:color="auto"/>
            <w:bottom w:val="none" w:sz="0" w:space="0" w:color="auto"/>
            <w:right w:val="none" w:sz="0" w:space="0" w:color="auto"/>
          </w:divBdr>
          <w:divsChild>
            <w:div w:id="843280715">
              <w:marLeft w:val="0"/>
              <w:marRight w:val="0"/>
              <w:marTop w:val="0"/>
              <w:marBottom w:val="0"/>
              <w:divBdr>
                <w:top w:val="none" w:sz="0" w:space="0" w:color="auto"/>
                <w:left w:val="none" w:sz="0" w:space="0" w:color="auto"/>
                <w:bottom w:val="none" w:sz="0" w:space="0" w:color="auto"/>
                <w:right w:val="none" w:sz="0" w:space="0" w:color="auto"/>
              </w:divBdr>
              <w:divsChild>
                <w:div w:id="359816663">
                  <w:marLeft w:val="0"/>
                  <w:marRight w:val="0"/>
                  <w:marTop w:val="0"/>
                  <w:marBottom w:val="225"/>
                  <w:divBdr>
                    <w:top w:val="none" w:sz="0" w:space="0" w:color="auto"/>
                    <w:left w:val="none" w:sz="0" w:space="0" w:color="auto"/>
                    <w:bottom w:val="none" w:sz="0" w:space="0" w:color="auto"/>
                    <w:right w:val="none" w:sz="0" w:space="0" w:color="auto"/>
                  </w:divBdr>
                  <w:divsChild>
                    <w:div w:id="3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2679">
      <w:bodyDiv w:val="1"/>
      <w:marLeft w:val="0"/>
      <w:marRight w:val="0"/>
      <w:marTop w:val="0"/>
      <w:marBottom w:val="0"/>
      <w:divBdr>
        <w:top w:val="none" w:sz="0" w:space="0" w:color="auto"/>
        <w:left w:val="none" w:sz="0" w:space="0" w:color="auto"/>
        <w:bottom w:val="none" w:sz="0" w:space="0" w:color="auto"/>
        <w:right w:val="none" w:sz="0" w:space="0" w:color="auto"/>
      </w:divBdr>
      <w:divsChild>
        <w:div w:id="726298405">
          <w:marLeft w:val="0"/>
          <w:marRight w:val="0"/>
          <w:marTop w:val="375"/>
          <w:marBottom w:val="375"/>
          <w:divBdr>
            <w:top w:val="none" w:sz="0" w:space="0" w:color="auto"/>
            <w:left w:val="none" w:sz="0" w:space="0" w:color="auto"/>
            <w:bottom w:val="none" w:sz="0" w:space="0" w:color="auto"/>
            <w:right w:val="none" w:sz="0" w:space="0" w:color="auto"/>
          </w:divBdr>
          <w:divsChild>
            <w:div w:id="1908570135">
              <w:marLeft w:val="0"/>
              <w:marRight w:val="0"/>
              <w:marTop w:val="0"/>
              <w:marBottom w:val="0"/>
              <w:divBdr>
                <w:top w:val="none" w:sz="0" w:space="0" w:color="auto"/>
                <w:left w:val="none" w:sz="0" w:space="0" w:color="auto"/>
                <w:bottom w:val="none" w:sz="0" w:space="0" w:color="auto"/>
                <w:right w:val="none" w:sz="0" w:space="0" w:color="auto"/>
              </w:divBdr>
              <w:divsChild>
                <w:div w:id="872109538">
                  <w:marLeft w:val="0"/>
                  <w:marRight w:val="0"/>
                  <w:marTop w:val="0"/>
                  <w:marBottom w:val="225"/>
                  <w:divBdr>
                    <w:top w:val="none" w:sz="0" w:space="0" w:color="auto"/>
                    <w:left w:val="none" w:sz="0" w:space="0" w:color="auto"/>
                    <w:bottom w:val="none" w:sz="0" w:space="0" w:color="auto"/>
                    <w:right w:val="none" w:sz="0" w:space="0" w:color="auto"/>
                  </w:divBdr>
                  <w:divsChild>
                    <w:div w:id="2072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channels.org/webinars/2015/keeping-promise-sydney-next-steps-marine-agenda-world-parks-congress" TargetMode="External"/><Relationship Id="rId13" Type="http://schemas.openxmlformats.org/officeDocument/2006/relationships/hyperlink" Target="http://www.iucn-uk.org/portals/0/PNOTM_2014_full_repo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pts.washington.edu/mpanews/MPA140.pdf" TargetMode="External"/><Relationship Id="rId12" Type="http://schemas.openxmlformats.org/officeDocument/2006/relationships/hyperlink" Target="http://www.eci.ox.ac.uk/publications/downloads/coad11-protected-areas.pdf" TargetMode="External"/><Relationship Id="rId17" Type="http://schemas.openxmlformats.org/officeDocument/2006/relationships/hyperlink" Target="http://worldparkscongress.org/about/promise_of_sydney_commitments.html" TargetMode="External"/><Relationship Id="rId2" Type="http://schemas.openxmlformats.org/officeDocument/2006/relationships/numbering" Target="numbering.xml"/><Relationship Id="rId16" Type="http://schemas.openxmlformats.org/officeDocument/2006/relationships/hyperlink" Target="http://worldparkscongress.org/about/promise_of_sydney_inspiring_solu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dddtracker.org" TargetMode="External"/><Relationship Id="rId5" Type="http://schemas.openxmlformats.org/officeDocument/2006/relationships/settings" Target="settings.xml"/><Relationship Id="rId15" Type="http://schemas.openxmlformats.org/officeDocument/2006/relationships/hyperlink" Target="http://worldparkscongress.org/about/promise_of_sydney_innovative_approaches.html" TargetMode="External"/><Relationship Id="rId10" Type="http://schemas.openxmlformats.org/officeDocument/2006/relationships/hyperlink" Target="http://www.marine-conservation.org/seastates/g20/20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tureneedshalf.org" TargetMode="External"/><Relationship Id="rId14" Type="http://schemas.openxmlformats.org/officeDocument/2006/relationships/hyperlink" Target="http://worldparkscongress.org/about/promise_of_sydney_v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225B-528D-4626-95EC-D150D784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dcterms:created xsi:type="dcterms:W3CDTF">2015-01-17T23:24:00Z</dcterms:created>
  <dcterms:modified xsi:type="dcterms:W3CDTF">2015-01-17T23:24:00Z</dcterms:modified>
</cp:coreProperties>
</file>