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578" w:rsidRPr="006A4B8B" w:rsidRDefault="00511578" w:rsidP="00261F5F">
      <w:pPr>
        <w:rPr>
          <w:b/>
        </w:rPr>
      </w:pPr>
    </w:p>
    <w:p w:rsidR="003C72A2" w:rsidRPr="00933D6D" w:rsidRDefault="00772100" w:rsidP="003C72A2">
      <w:pPr>
        <w:jc w:val="center"/>
        <w:rPr>
          <w:b/>
          <w:sz w:val="28"/>
          <w:szCs w:val="28"/>
        </w:rPr>
      </w:pPr>
      <w:r>
        <w:rPr>
          <w:b/>
          <w:sz w:val="28"/>
          <w:szCs w:val="28"/>
        </w:rPr>
        <w:t>T</w:t>
      </w:r>
      <w:r w:rsidR="00933D6D">
        <w:rPr>
          <w:b/>
          <w:sz w:val="28"/>
          <w:szCs w:val="28"/>
        </w:rPr>
        <w:t xml:space="preserve">he </w:t>
      </w:r>
      <w:r w:rsidR="003C72A2" w:rsidRPr="00933D6D">
        <w:rPr>
          <w:b/>
          <w:sz w:val="28"/>
          <w:szCs w:val="28"/>
        </w:rPr>
        <w:t xml:space="preserve">2013/14 </w:t>
      </w:r>
      <w:r w:rsidR="00933D6D">
        <w:rPr>
          <w:b/>
          <w:sz w:val="28"/>
          <w:szCs w:val="28"/>
        </w:rPr>
        <w:t>floods</w:t>
      </w:r>
      <w:r>
        <w:rPr>
          <w:b/>
          <w:sz w:val="28"/>
          <w:szCs w:val="28"/>
        </w:rPr>
        <w:t>: what do they</w:t>
      </w:r>
      <w:r w:rsidR="00933D6D">
        <w:rPr>
          <w:b/>
          <w:sz w:val="28"/>
          <w:szCs w:val="28"/>
        </w:rPr>
        <w:t xml:space="preserve"> </w:t>
      </w:r>
      <w:r w:rsidR="003C72A2" w:rsidRPr="00933D6D">
        <w:rPr>
          <w:b/>
          <w:sz w:val="28"/>
          <w:szCs w:val="28"/>
        </w:rPr>
        <w:t xml:space="preserve">tell us about </w:t>
      </w:r>
    </w:p>
    <w:p w:rsidR="003C72A2" w:rsidRPr="00933D6D" w:rsidRDefault="003C72A2" w:rsidP="003C72A2">
      <w:pPr>
        <w:jc w:val="center"/>
        <w:rPr>
          <w:b/>
          <w:sz w:val="28"/>
          <w:szCs w:val="28"/>
        </w:rPr>
      </w:pPr>
      <w:r w:rsidRPr="00933D6D">
        <w:rPr>
          <w:b/>
          <w:sz w:val="28"/>
          <w:szCs w:val="28"/>
        </w:rPr>
        <w:t>overall f</w:t>
      </w:r>
      <w:r w:rsidR="001A4612" w:rsidRPr="00933D6D">
        <w:rPr>
          <w:b/>
          <w:sz w:val="28"/>
          <w:szCs w:val="28"/>
        </w:rPr>
        <w:t>lood risk in England and Wales?</w:t>
      </w:r>
    </w:p>
    <w:p w:rsidR="0065339A" w:rsidRDefault="0065339A" w:rsidP="006A4B8B">
      <w:pPr>
        <w:jc w:val="center"/>
      </w:pPr>
    </w:p>
    <w:p w:rsidR="003C72A2" w:rsidRDefault="006A4B8B" w:rsidP="006A4B8B">
      <w:pPr>
        <w:jc w:val="center"/>
      </w:pPr>
      <w:bookmarkStart w:id="0" w:name="_GoBack"/>
      <w:bookmarkEnd w:id="0"/>
      <w:r>
        <w:t>Edmund C. Penning-Rowsell</w:t>
      </w:r>
    </w:p>
    <w:p w:rsidR="006A4B8B" w:rsidRDefault="006A4B8B" w:rsidP="006A4B8B">
      <w:pPr>
        <w:jc w:val="center"/>
      </w:pPr>
      <w:r>
        <w:t>Middlesex and Oxford Universities</w:t>
      </w:r>
    </w:p>
    <w:p w:rsidR="0065339A" w:rsidRDefault="0065339A" w:rsidP="006A4B8B">
      <w:pPr>
        <w:jc w:val="center"/>
      </w:pPr>
      <w:hyperlink r:id="rId9" w:history="1">
        <w:r w:rsidRPr="005D3909">
          <w:rPr>
            <w:rStyle w:val="Hyperlink"/>
          </w:rPr>
          <w:t>Edmnund@penningrowsell.com</w:t>
        </w:r>
      </w:hyperlink>
    </w:p>
    <w:p w:rsidR="006A4B8B" w:rsidRDefault="006A4B8B" w:rsidP="00261F5F"/>
    <w:p w:rsidR="00AC7CE6" w:rsidRDefault="00511578" w:rsidP="00261F5F">
      <w:r>
        <w:t xml:space="preserve">A recent paper </w:t>
      </w:r>
      <w:r w:rsidR="006A4B8B">
        <w:t xml:space="preserve">of mine </w:t>
      </w:r>
      <w:r>
        <w:t>analyses the available data on flood damage since 1947</w:t>
      </w:r>
      <w:r w:rsidR="00530DCF">
        <w:t xml:space="preserve"> and up to 2010</w:t>
      </w:r>
      <w:r>
        <w:t>. The results show that annual average economic fluvial and coastal flood dama</w:t>
      </w:r>
      <w:r w:rsidR="00A637EA">
        <w:t xml:space="preserve">ge over the last </w:t>
      </w:r>
      <w:r w:rsidR="001A4612">
        <w:t>two decades or so</w:t>
      </w:r>
      <w:r w:rsidR="00530DCF">
        <w:t xml:space="preserve"> </w:t>
      </w:r>
      <w:r w:rsidR="00A637EA">
        <w:t xml:space="preserve">- a period seeing several large flood events - </w:t>
      </w:r>
      <w:r w:rsidR="00530DCF">
        <w:t>had</w:t>
      </w:r>
      <w:r>
        <w:t xml:space="preserve"> </w:t>
      </w:r>
      <w:r w:rsidR="003C72A2">
        <w:t xml:space="preserve">not amounted to more than </w:t>
      </w:r>
      <w:r w:rsidR="001A4612">
        <w:t xml:space="preserve">circa </w:t>
      </w:r>
      <w:r>
        <w:t>£</w:t>
      </w:r>
      <w:r w:rsidR="003C72A2">
        <w:t>0</w:t>
      </w:r>
      <w:r>
        <w:t xml:space="preserve">.25 billion </w:t>
      </w:r>
      <w:r w:rsidR="001A4612">
        <w:t>(Penning-Rowsell, 2014</w:t>
      </w:r>
      <w:r w:rsidR="00D06386">
        <w:rPr>
          <w:rStyle w:val="FootnoteReference"/>
        </w:rPr>
        <w:footnoteReference w:id="1"/>
      </w:r>
      <w:r w:rsidR="00BC1C99">
        <w:t>)</w:t>
      </w:r>
      <w:r>
        <w:t xml:space="preserve">. </w:t>
      </w:r>
    </w:p>
    <w:p w:rsidR="00AC7CE6" w:rsidRDefault="00AC7CE6" w:rsidP="00261F5F"/>
    <w:p w:rsidR="00731917" w:rsidRDefault="00BC1C99" w:rsidP="00731917">
      <w:r>
        <w:t xml:space="preserve">Such analysis does not deny that floods can be serious in </w:t>
      </w:r>
      <w:r w:rsidR="00D06386">
        <w:t xml:space="preserve">England and </w:t>
      </w:r>
      <w:r>
        <w:t>Wales, y</w:t>
      </w:r>
      <w:r w:rsidR="00511578">
        <w:t>et many commentators, including government ministers</w:t>
      </w:r>
      <w:r w:rsidR="00954014">
        <w:t>, the Environment Agency</w:t>
      </w:r>
      <w:r w:rsidR="00511578">
        <w:t xml:space="preserve"> and </w:t>
      </w:r>
      <w:r w:rsidR="00954014">
        <w:t xml:space="preserve">their </w:t>
      </w:r>
      <w:r w:rsidR="00511578">
        <w:t>officials, have continued in the last five years to emphasise that this annual loss total am</w:t>
      </w:r>
      <w:r w:rsidR="00A637EA">
        <w:t>ounts exceeds</w:t>
      </w:r>
      <w:r w:rsidR="00511578">
        <w:t xml:space="preserve"> £1 billion</w:t>
      </w:r>
      <w:r w:rsidR="003C72A2">
        <w:t>, fundamentally based on the NAFRA</w:t>
      </w:r>
      <w:r w:rsidR="00BC015E">
        <w:t>-type</w:t>
      </w:r>
      <w:r w:rsidR="003C72A2">
        <w:t xml:space="preserve"> assessments of flood ri</w:t>
      </w:r>
      <w:r w:rsidR="00BC015E">
        <w:t>sk that have</w:t>
      </w:r>
      <w:r w:rsidR="003C72A2">
        <w:t xml:space="preserve"> been undertaken since 2002 (Gouldby et al, 2008)</w:t>
      </w:r>
      <w:r w:rsidR="006A4B8B">
        <w:t xml:space="preserve"> (NAFRA = </w:t>
      </w:r>
      <w:r w:rsidR="006A4B8B" w:rsidRPr="006A4B8B">
        <w:rPr>
          <w:b/>
        </w:rPr>
        <w:t>Na</w:t>
      </w:r>
      <w:r w:rsidR="006A4B8B">
        <w:t xml:space="preserve">tional </w:t>
      </w:r>
      <w:r w:rsidR="006A4B8B" w:rsidRPr="006A4B8B">
        <w:rPr>
          <w:b/>
        </w:rPr>
        <w:t>F</w:t>
      </w:r>
      <w:r w:rsidR="006A4B8B">
        <w:t xml:space="preserve">lood </w:t>
      </w:r>
      <w:r w:rsidR="006A4B8B" w:rsidRPr="006A4B8B">
        <w:rPr>
          <w:b/>
        </w:rPr>
        <w:t>R</w:t>
      </w:r>
      <w:r w:rsidR="006A4B8B">
        <w:t xml:space="preserve">isk </w:t>
      </w:r>
      <w:r w:rsidR="006A4B8B" w:rsidRPr="006A4B8B">
        <w:rPr>
          <w:b/>
        </w:rPr>
        <w:t>A</w:t>
      </w:r>
      <w:r w:rsidR="006A4B8B">
        <w:t>ssessment)</w:t>
      </w:r>
      <w:r w:rsidR="00511578">
        <w:t>. As recently as 2012 the Climate Change Risk Assessment report on flooding and coastal erosion concluded that</w:t>
      </w:r>
      <w:r w:rsidR="00AC7CE6">
        <w:t xml:space="preserve"> </w:t>
      </w:r>
      <w:r w:rsidR="00261F5F" w:rsidRPr="00261F5F">
        <w:t>“Annual damage to properties due to flooding: between £1.7 and £4.5 billion by the 2050s, rising to between £2.1 and £6.2 billion by the 2080s (</w:t>
      </w:r>
      <w:r w:rsidR="00261F5F" w:rsidRPr="00261F5F">
        <w:rPr>
          <w:bCs/>
        </w:rPr>
        <w:t>current figure: £1.2 billion</w:t>
      </w:r>
      <w:r w:rsidR="00261F5F">
        <w:t>)”</w:t>
      </w:r>
      <w:r w:rsidR="00BC015E">
        <w:t xml:space="preserve"> </w:t>
      </w:r>
      <w:r w:rsidR="0096413E">
        <w:t>(Defra</w:t>
      </w:r>
      <w:r w:rsidR="00261F5F">
        <w:t>, 2012</w:t>
      </w:r>
      <w:r w:rsidR="00A637EA">
        <w:t xml:space="preserve">, </w:t>
      </w:r>
      <w:r w:rsidR="00933D6D">
        <w:t>2</w:t>
      </w:r>
      <w:r w:rsidR="00261F5F">
        <w:t>).</w:t>
      </w:r>
      <w:r w:rsidR="00261F5F" w:rsidRPr="00261F5F">
        <w:t xml:space="preserve"> </w:t>
      </w:r>
      <w:r w:rsidR="00511578">
        <w:t xml:space="preserve">The analysis in </w:t>
      </w:r>
      <w:r w:rsidR="00DC4F2F">
        <w:t xml:space="preserve">my </w:t>
      </w:r>
      <w:r w:rsidR="00511578">
        <w:t>paper concluded that</w:t>
      </w:r>
      <w:r w:rsidR="003C72A2">
        <w:t xml:space="preserve"> “</w:t>
      </w:r>
      <w:r w:rsidR="00731917">
        <w:t>The four- to five-fold exaggeration – as we see it - does not sit well with the government’s commitment to good evidence based decision making” and that “Policy makers …. (and their Ministers) should refrain from referring to levels of … risk that are at best questionable and at worst quite simply erroneous” (Penning-Rowsell, 2014, XX).</w:t>
      </w:r>
    </w:p>
    <w:p w:rsidR="00BC1C99" w:rsidRDefault="00BC1C99" w:rsidP="00731917"/>
    <w:p w:rsidR="00BC1C99" w:rsidRDefault="00BC1C99" w:rsidP="00BC1C99">
      <w:r>
        <w:t>It is instructive to update the analysis to the year 2014, not least because we appear to have serious flooding in the winter of 2013/14</w:t>
      </w:r>
      <w:r w:rsidR="00BC015E">
        <w:t>, as well as in 2012</w:t>
      </w:r>
      <w:r>
        <w:t xml:space="preserve">. This </w:t>
      </w:r>
      <w:r w:rsidR="00BC015E">
        <w:t xml:space="preserve">up-dating </w:t>
      </w:r>
      <w:r>
        <w:t>is only possible using residential flood insurance claims, from which we need to extrapolate to the likely overall total of both residential and non-residential losses</w:t>
      </w:r>
      <w:r w:rsidR="00F61F11">
        <w:t xml:space="preserve"> (see below)</w:t>
      </w:r>
      <w:r>
        <w:t>. Figure 1 shows the results, indicating that the years 2012 and 2013/14 are indeed above the average for the last 16 ye</w:t>
      </w:r>
      <w:r w:rsidR="00F61F11">
        <w:t>ars, but that the mean of</w:t>
      </w:r>
      <w:r>
        <w:t xml:space="preserve"> £</w:t>
      </w:r>
      <w:r w:rsidR="00F61F11">
        <w:t>0</w:t>
      </w:r>
      <w:r>
        <w:t>.146 billion is actually lower than the me</w:t>
      </w:r>
      <w:r w:rsidR="009263B1">
        <w:t xml:space="preserve">an for the years 1998 to 2010 (the equivalent figure is </w:t>
      </w:r>
      <w:r>
        <w:t>£</w:t>
      </w:r>
      <w:r w:rsidR="009263B1">
        <w:t>0.147</w:t>
      </w:r>
      <w:r>
        <w:t xml:space="preserve"> billion). This is because the year 2011 saw relatively few floods, </w:t>
      </w:r>
      <w:r w:rsidR="00A637EA">
        <w:t xml:space="preserve">although 8,000 properties made claims, </w:t>
      </w:r>
      <w:r>
        <w:t xml:space="preserve">yielding a total flood </w:t>
      </w:r>
      <w:r w:rsidR="00A637EA">
        <w:t xml:space="preserve">insured </w:t>
      </w:r>
      <w:r>
        <w:t>loss of no more than £52 million</w:t>
      </w:r>
      <w:r w:rsidR="00A637EA">
        <w:t xml:space="preserve"> (£0.052bn)</w:t>
      </w:r>
      <w:r w:rsidR="00F61F11">
        <w:t xml:space="preserve"> (</w:t>
      </w:r>
      <w:r w:rsidR="006A4B8B">
        <w:t>Association of British Insurers (</w:t>
      </w:r>
      <w:r w:rsidR="00F61F11">
        <w:t>ABI</w:t>
      </w:r>
      <w:r w:rsidR="006A4B8B">
        <w:t>)</w:t>
      </w:r>
      <w:r w:rsidR="00F61F11">
        <w:t>, 2014a)</w:t>
      </w:r>
      <w:r>
        <w:t>. It should be noted in this respe</w:t>
      </w:r>
      <w:r w:rsidR="00A637EA">
        <w:t xml:space="preserve">ct that all the figures here </w:t>
      </w:r>
      <w:r w:rsidR="003C72A2">
        <w:t>have been converted to</w:t>
      </w:r>
      <w:r>
        <w:t xml:space="preserve"> </w:t>
      </w:r>
      <w:r w:rsidR="003C72A2">
        <w:t>n</w:t>
      </w:r>
      <w:r>
        <w:t>ational economic values, by deducting VAT, and converting the financial losses (those suffered by the householder), to economic losses to eliminate the "bet</w:t>
      </w:r>
      <w:r w:rsidR="00954014">
        <w:t>terment" element in flood loss compensation</w:t>
      </w:r>
      <w:r>
        <w:t xml:space="preserve"> as </w:t>
      </w:r>
      <w:r w:rsidR="00A637EA">
        <w:t xml:space="preserve">included in </w:t>
      </w:r>
      <w:r>
        <w:t xml:space="preserve">the </w:t>
      </w:r>
      <w:r w:rsidR="00A637EA">
        <w:t>insurance claims. (See Penning-Row</w:t>
      </w:r>
      <w:r>
        <w:t xml:space="preserve">sell 2014, </w:t>
      </w:r>
      <w:r w:rsidR="00954014">
        <w:t xml:space="preserve">endnote 2, </w:t>
      </w:r>
      <w:r>
        <w:t>for details of this important correction).</w:t>
      </w:r>
    </w:p>
    <w:p w:rsidR="00BC015E" w:rsidRDefault="00BC015E" w:rsidP="00BC1C99"/>
    <w:p w:rsidR="00F61F11" w:rsidRDefault="00A71BE6" w:rsidP="00BC1C99">
      <w:r>
        <w:t xml:space="preserve">As indicated above, </w:t>
      </w:r>
      <w:r w:rsidR="00BC015E">
        <w:t xml:space="preserve">Figure 1 shows the results </w:t>
      </w:r>
      <w:r>
        <w:t xml:space="preserve">for </w:t>
      </w:r>
      <w:r w:rsidR="00BC015E">
        <w:t>just the residential sector. The fraction of the total losses that are represented by this sector is not without significant uncertainty</w:t>
      </w:r>
      <w:r w:rsidR="00590679">
        <w:t xml:space="preserve"> and variation</w:t>
      </w:r>
      <w:r w:rsidR="00BC015E">
        <w:t>. Results for the 2000 flood</w:t>
      </w:r>
      <w:r w:rsidR="00F61F11">
        <w:t>ing</w:t>
      </w:r>
      <w:r w:rsidR="00BC015E">
        <w:t xml:space="preserve"> show this</w:t>
      </w:r>
      <w:r w:rsidR="00FD1D8C">
        <w:t xml:space="preserve"> fraction to be approximately 45.2</w:t>
      </w:r>
      <w:r w:rsidR="00BC015E">
        <w:t>%, whereas t</w:t>
      </w:r>
      <w:r w:rsidR="00FD1D8C">
        <w:t>hose for the 2007 flood</w:t>
      </w:r>
      <w:r w:rsidR="00F61F11">
        <w:t>s</w:t>
      </w:r>
      <w:r w:rsidR="00FD1D8C">
        <w:t xml:space="preserve"> gave a result</w:t>
      </w:r>
      <w:r w:rsidR="00BC015E">
        <w:t xml:space="preserve"> of 37.9%</w:t>
      </w:r>
      <w:r w:rsidR="00590679">
        <w:t xml:space="preserve"> (Penning-Rowsell</w:t>
      </w:r>
      <w:r w:rsidR="001A4612">
        <w:t>,</w:t>
      </w:r>
      <w:r w:rsidR="00590679">
        <w:t xml:space="preserve"> 2014)</w:t>
      </w:r>
      <w:r w:rsidR="00BC015E">
        <w:t xml:space="preserve">. For the 2013/14 event, the ABI figures show that out of a total of </w:t>
      </w:r>
      <w:r w:rsidR="00FD1D8C">
        <w:t>£0.425b</w:t>
      </w:r>
      <w:r w:rsidR="00BC015E">
        <w:t xml:space="preserve">n claims total, some </w:t>
      </w:r>
      <w:r w:rsidR="00FD1D8C">
        <w:t>£</w:t>
      </w:r>
      <w:r w:rsidR="00F61F11">
        <w:t>0.</w:t>
      </w:r>
      <w:r w:rsidR="00BC015E">
        <w:t>276</w:t>
      </w:r>
      <w:r w:rsidR="00F61F11">
        <w:t>b</w:t>
      </w:r>
      <w:r w:rsidR="00BC015E">
        <w:t>n was for domestic cover</w:t>
      </w:r>
      <w:r w:rsidR="00F61F11">
        <w:t xml:space="preserve"> (ABI, 2014b)</w:t>
      </w:r>
      <w:r w:rsidR="00BC015E">
        <w:t>, yielding a 64.9% fraction for</w:t>
      </w:r>
      <w:r w:rsidR="00F61F11">
        <w:t xml:space="preserve"> residential losses. </w:t>
      </w:r>
      <w:r w:rsidR="00590679">
        <w:t xml:space="preserve">Weighting </w:t>
      </w:r>
      <w:r w:rsidR="00F61F11">
        <w:t xml:space="preserve">the three results </w:t>
      </w:r>
      <w:r w:rsidR="00590679">
        <w:t xml:space="preserve">by the size of the total losses in each case gives an average </w:t>
      </w:r>
      <w:r w:rsidR="00FD1D8C">
        <w:t>a figure of 41.8</w:t>
      </w:r>
      <w:r w:rsidR="00BC015E">
        <w:t>%</w:t>
      </w:r>
      <w:r w:rsidR="00F61F11">
        <w:t xml:space="preserve"> for </w:t>
      </w:r>
      <w:r w:rsidR="00954014">
        <w:t xml:space="preserve">the </w:t>
      </w:r>
      <w:r w:rsidR="00FD1D8C">
        <w:t xml:space="preserve">residential </w:t>
      </w:r>
      <w:r w:rsidR="00954014">
        <w:t xml:space="preserve">fraction of </w:t>
      </w:r>
      <w:r w:rsidR="00F61F11">
        <w:t>total losses</w:t>
      </w:r>
      <w:r w:rsidR="00BC015E">
        <w:t>. If we apply this average</w:t>
      </w:r>
      <w:r w:rsidR="00F61F11">
        <w:t xml:space="preserve"> to the mean shown in F</w:t>
      </w:r>
      <w:r w:rsidR="00BC015E">
        <w:t>igure 1</w:t>
      </w:r>
      <w:r w:rsidR="00F61F11">
        <w:t>, and deducting the element attributable to Scotland (15.5%),</w:t>
      </w:r>
      <w:r w:rsidR="00BC015E">
        <w:t xml:space="preserve"> we get total annual average </w:t>
      </w:r>
      <w:r w:rsidR="00F61F11">
        <w:t>loss/compensation of c. £0.294</w:t>
      </w:r>
      <w:r w:rsidR="00FD1D8C">
        <w:t>bn</w:t>
      </w:r>
      <w:r w:rsidR="00BC015E">
        <w:t xml:space="preserve">. </w:t>
      </w:r>
      <w:r w:rsidR="00BC015E">
        <w:lastRenderedPageBreak/>
        <w:t>Aga</w:t>
      </w:r>
      <w:r w:rsidR="00F61F11">
        <w:t>in this is less than one quarter</w:t>
      </w:r>
      <w:r w:rsidR="00BC015E">
        <w:t xml:space="preserve"> of the figure quoted by the report on the</w:t>
      </w:r>
      <w:r w:rsidR="00D06386">
        <w:t xml:space="preserve"> Climate C</w:t>
      </w:r>
      <w:r w:rsidR="00F61F11">
        <w:t>hange Risk Assessment, simply because the</w:t>
      </w:r>
      <w:r w:rsidR="00954014">
        <w:t xml:space="preserve"> average for 2010-14 is almost identic</w:t>
      </w:r>
      <w:r w:rsidR="00F61F11">
        <w:t>al to the average of the previous 16 years.</w:t>
      </w:r>
    </w:p>
    <w:p w:rsidR="00A637EA" w:rsidRDefault="00A637EA" w:rsidP="00BC1C99"/>
    <w:p w:rsidR="00F61F11" w:rsidRDefault="00A637EA" w:rsidP="00BC1C99">
      <w:r>
        <w:t>The reasons for the discrepancy between NAFRA results and recorded flood losses are not clear, but probably partly reflect the flood spreading model, introduced in NAFRA2008, which appears significantly to over-predict flood depths</w:t>
      </w:r>
      <w:r w:rsidR="00B56FAE">
        <w:t>. In addition there</w:t>
      </w:r>
      <w:r w:rsidR="00F61F11">
        <w:t xml:space="preserve"> are doubts about the fragility </w:t>
      </w:r>
      <w:r w:rsidR="00B56FAE">
        <w:t>curves us</w:t>
      </w:r>
      <w:r w:rsidR="00F61F11">
        <w:t>ed to assess the chance of the failure of</w:t>
      </w:r>
      <w:r w:rsidR="00B56FAE">
        <w:t xml:space="preserve"> flood defences</w:t>
      </w:r>
      <w:r w:rsidR="00FD1D8C">
        <w:t>, whic</w:t>
      </w:r>
      <w:r w:rsidR="00B56FAE">
        <w:t xml:space="preserve">h in reality are very rare in the UK. Both need investigation in a radical review of the NAFRA methodology and </w:t>
      </w:r>
      <w:r w:rsidR="00FD1D8C">
        <w:t xml:space="preserve">its </w:t>
      </w:r>
      <w:r w:rsidR="00B56FAE">
        <w:t>data sources.</w:t>
      </w:r>
      <w:r w:rsidR="00F61F11">
        <w:t xml:space="preserve"> Some of this is already under way.</w:t>
      </w:r>
    </w:p>
    <w:p w:rsidR="00BC015E" w:rsidRDefault="00BC015E" w:rsidP="00BC1C99"/>
    <w:p w:rsidR="00BC1C99" w:rsidRDefault="00BC015E" w:rsidP="00BC1C99">
      <w:r>
        <w:t>Tho</w:t>
      </w:r>
      <w:r w:rsidR="00BC1C99">
        <w:t>se disagreei</w:t>
      </w:r>
      <w:r w:rsidR="007A013F">
        <w:t xml:space="preserve">ng </w:t>
      </w:r>
      <w:r w:rsidR="003C72A2">
        <w:t>with these comments might raise</w:t>
      </w:r>
      <w:r w:rsidR="007A013F">
        <w:t xml:space="preserve"> three</w:t>
      </w:r>
      <w:r w:rsidR="00BC1C99">
        <w:t xml:space="preserve"> queries. First, what about agriculture? The agricultural losses incurred in the 2000 floods amounted to no more than 4</w:t>
      </w:r>
      <w:r w:rsidR="00B56FAE">
        <w:t>.4</w:t>
      </w:r>
      <w:r w:rsidR="00BC1C99">
        <w:t>% of th</w:t>
      </w:r>
      <w:r w:rsidR="003C72A2">
        <w:t>e total (Penning-Row</w:t>
      </w:r>
      <w:r w:rsidR="00BC1C99">
        <w:t>sell</w:t>
      </w:r>
      <w:r w:rsidR="003C72A2">
        <w:t xml:space="preserve"> et al, 2002</w:t>
      </w:r>
      <w:r w:rsidR="00BC1C99">
        <w:t>) and the level of comp</w:t>
      </w:r>
      <w:r w:rsidR="00FF6A14">
        <w:t>ensation to the Somerset Level f</w:t>
      </w:r>
      <w:r w:rsidR="00BC1C99">
        <w:t xml:space="preserve">armers in 2014 </w:t>
      </w:r>
      <w:r w:rsidR="00954014">
        <w:t>has been</w:t>
      </w:r>
      <w:r w:rsidR="00FF6A14">
        <w:t xml:space="preserve"> only £10</w:t>
      </w:r>
      <w:r w:rsidR="00BC1C99">
        <w:t>million</w:t>
      </w:r>
      <w:r w:rsidR="00FF6A14">
        <w:t>s</w:t>
      </w:r>
      <w:r w:rsidR="00BC1C99">
        <w:t>. So this</w:t>
      </w:r>
      <w:r w:rsidR="003C72A2">
        <w:t xml:space="preserve"> </w:t>
      </w:r>
      <w:r w:rsidR="00FF6A14">
        <w:t xml:space="preserve">category of </w:t>
      </w:r>
      <w:r w:rsidR="003C72A2">
        <w:t>loss</w:t>
      </w:r>
      <w:r w:rsidR="00BC1C99">
        <w:t xml:space="preserve"> is </w:t>
      </w:r>
      <w:r w:rsidR="00954014">
        <w:t>un</w:t>
      </w:r>
      <w:r w:rsidR="00BC1C99">
        <w:t>likely to be</w:t>
      </w:r>
      <w:r w:rsidR="00954014">
        <w:t xml:space="preserve"> more than</w:t>
      </w:r>
      <w:r w:rsidR="00BC1C99">
        <w:t xml:space="preserve"> a relatively trivial sum within the </w:t>
      </w:r>
      <w:r w:rsidR="00FF6A14">
        <w:t xml:space="preserve">national </w:t>
      </w:r>
      <w:r w:rsidR="00BC1C99">
        <w:t>annual average total. Secondly, what about events greater than those likely to occur within a relatively short time period of 16 years? The answer here is that there have been no more than thre</w:t>
      </w:r>
      <w:r w:rsidR="003C72A2">
        <w:t>e floods in the last 1</w:t>
      </w:r>
      <w:r w:rsidR="00BC1C99">
        <w:t>20 years</w:t>
      </w:r>
      <w:r w:rsidR="00F61F11">
        <w:t xml:space="preserve"> in England and Wales</w:t>
      </w:r>
      <w:r w:rsidR="00BC1C99">
        <w:t xml:space="preserve"> </w:t>
      </w:r>
      <w:r w:rsidR="003C72A2">
        <w:t xml:space="preserve">(1947; 1953; 2007) </w:t>
      </w:r>
      <w:r w:rsidR="00BC1C99">
        <w:t xml:space="preserve">where the total </w:t>
      </w:r>
      <w:r w:rsidR="003C72A2">
        <w:t xml:space="preserve">economic </w:t>
      </w:r>
      <w:r w:rsidR="00BC1C99">
        <w:t>damage exceeded £3 billion</w:t>
      </w:r>
      <w:r w:rsidR="003C72A2">
        <w:t xml:space="preserve"> (and we are unsure if the 1947 flood reached that total, at today’s values). T</w:t>
      </w:r>
      <w:r w:rsidR="00BC1C99">
        <w:t>he likelihood therefore that the annual</w:t>
      </w:r>
      <w:r w:rsidR="00F61F11">
        <w:t xml:space="preserve"> average currently extant</w:t>
      </w:r>
      <w:r w:rsidR="00BC1C99">
        <w:t xml:space="preserve"> in England and Wales </w:t>
      </w:r>
      <w:r w:rsidR="00FF6A14">
        <w:t xml:space="preserve">is </w:t>
      </w:r>
      <w:r w:rsidR="00BC1C99">
        <w:t xml:space="preserve">greater than £1 billion is </w:t>
      </w:r>
      <w:r w:rsidR="00FF6A14">
        <w:t xml:space="preserve">very </w:t>
      </w:r>
      <w:r w:rsidR="00BC1C99">
        <w:t>remote indeed. Thirdly, what abo</w:t>
      </w:r>
      <w:r w:rsidR="00B56FAE">
        <w:t>ut surface water flooding? But</w:t>
      </w:r>
      <w:r w:rsidR="00BC1C99">
        <w:t xml:space="preserve"> insura</w:t>
      </w:r>
      <w:r w:rsidR="00FF6A14">
        <w:t>nce claims include these sums, so</w:t>
      </w:r>
      <w:r w:rsidR="00A71BE6">
        <w:t xml:space="preserve"> </w:t>
      </w:r>
      <w:r w:rsidR="00BC1C99">
        <w:t xml:space="preserve">the </w:t>
      </w:r>
      <w:r w:rsidR="003C72A2">
        <w:t>NAFRA-</w:t>
      </w:r>
      <w:r w:rsidR="00BC1C99">
        <w:t xml:space="preserve">based assessment of </w:t>
      </w:r>
      <w:r w:rsidR="001A4612">
        <w:t xml:space="preserve">current </w:t>
      </w:r>
      <w:r w:rsidR="00BC1C99">
        <w:t xml:space="preserve">annual average losses greater than </w:t>
      </w:r>
      <w:r w:rsidR="00F61F11">
        <w:t>£</w:t>
      </w:r>
      <w:r w:rsidR="00BC1C99">
        <w:t>1 billion</w:t>
      </w:r>
      <w:r w:rsidR="007A013F">
        <w:t xml:space="preserve">, which only counts floods within the </w:t>
      </w:r>
      <w:r w:rsidR="00A71BE6">
        <w:t xml:space="preserve">EA designated floodplain, </w:t>
      </w:r>
      <w:r w:rsidR="007A013F">
        <w:t xml:space="preserve">should actually be lower than the insurance claim total, rather than </w:t>
      </w:r>
      <w:r w:rsidR="009263B1">
        <w:t xml:space="preserve">circa </w:t>
      </w:r>
      <w:r w:rsidR="007A013F">
        <w:t xml:space="preserve">four times its value. </w:t>
      </w:r>
    </w:p>
    <w:p w:rsidR="009263B1" w:rsidRDefault="009263B1" w:rsidP="00BC1C99"/>
    <w:p w:rsidR="009263B1" w:rsidRDefault="009263B1" w:rsidP="00BC1C99">
      <w:r w:rsidRPr="009263B1">
        <w:t>So what do the floods of 2013/14 tell us?</w:t>
      </w:r>
      <w:r>
        <w:t xml:space="preserve"> </w:t>
      </w:r>
      <w:r w:rsidR="006A4B8B" w:rsidRPr="006A4B8B">
        <w:t>Despite their apparent severity, financial losses were not massive, at £0.425bn plus £22m for motor vehicle losses (the latter not assessed by NAFRA).</w:t>
      </w:r>
      <w:r w:rsidRPr="006A4B8B">
        <w:t xml:space="preserve"> There is </w:t>
      </w:r>
      <w:r w:rsidR="001A4612" w:rsidRPr="006A4B8B">
        <w:t xml:space="preserve">therefore </w:t>
      </w:r>
      <w:r w:rsidRPr="006A4B8B">
        <w:t xml:space="preserve">no </w:t>
      </w:r>
      <w:r w:rsidR="007502D4" w:rsidRPr="006A4B8B">
        <w:t xml:space="preserve">new </w:t>
      </w:r>
      <w:r w:rsidRPr="006A4B8B">
        <w:t xml:space="preserve">evidence </w:t>
      </w:r>
      <w:r>
        <w:t xml:space="preserve">here that national AAD is anywhere near the figures </w:t>
      </w:r>
      <w:r w:rsidR="00D3764D">
        <w:t xml:space="preserve">of up to £1.2bn </w:t>
      </w:r>
      <w:r>
        <w:t>coming from N</w:t>
      </w:r>
      <w:r w:rsidR="007502D4">
        <w:t>A</w:t>
      </w:r>
      <w:r>
        <w:t>FRA</w:t>
      </w:r>
      <w:r w:rsidR="00D3764D">
        <w:t>. I</w:t>
      </w:r>
      <w:r>
        <w:t xml:space="preserve">n that respect the </w:t>
      </w:r>
      <w:r w:rsidR="00954014">
        <w:t xml:space="preserve">results obtained and the </w:t>
      </w:r>
      <w:r w:rsidR="00DC4F2F">
        <w:t>conclusions reached in my</w:t>
      </w:r>
      <w:r>
        <w:t xml:space="preserve"> Royal Geogra</w:t>
      </w:r>
      <w:r w:rsidR="007502D4">
        <w:t>p</w:t>
      </w:r>
      <w:r>
        <w:t xml:space="preserve">hical Society’s </w:t>
      </w:r>
      <w:r w:rsidRPr="009263B1">
        <w:rPr>
          <w:i/>
        </w:rPr>
        <w:t>Transactions</w:t>
      </w:r>
      <w:r>
        <w:t xml:space="preserve"> paper remain undisturbed</w:t>
      </w:r>
      <w:r w:rsidR="00D3764D">
        <w:t>, but the exaggerated and politically ‘embedded’ erroneous annual average flood loss figures remain a major cause for concern</w:t>
      </w:r>
      <w:r>
        <w:t>.</w:t>
      </w:r>
      <w:r w:rsidR="00D3764D">
        <w:t xml:space="preserve"> </w:t>
      </w:r>
    </w:p>
    <w:p w:rsidR="00471870" w:rsidRDefault="00471870" w:rsidP="00BC1C99"/>
    <w:p w:rsidR="00BA40DC" w:rsidRDefault="00BA40DC" w:rsidP="00BA40DC">
      <w:r>
        <w:t>References</w:t>
      </w:r>
    </w:p>
    <w:p w:rsidR="00BA40DC" w:rsidRPr="00BA40DC" w:rsidRDefault="00BA40DC" w:rsidP="00BA40DC"/>
    <w:p w:rsidR="007502D4" w:rsidRPr="00BA40DC" w:rsidRDefault="00393EC6" w:rsidP="00393EC6">
      <w:pPr>
        <w:pStyle w:val="ListParagraph"/>
        <w:numPr>
          <w:ilvl w:val="0"/>
          <w:numId w:val="1"/>
        </w:numPr>
        <w:ind w:left="426"/>
      </w:pPr>
      <w:r>
        <w:t>A</w:t>
      </w:r>
      <w:r w:rsidR="00954014">
        <w:t>BI (2014a</w:t>
      </w:r>
      <w:r w:rsidR="00BA40DC" w:rsidRPr="00BA40DC">
        <w:t>). E-mail from</w:t>
      </w:r>
      <w:r w:rsidR="00BA40DC">
        <w:t xml:space="preserve"> the ABI Statistics Service, </w:t>
      </w:r>
      <w:r w:rsidR="00BA40DC" w:rsidRPr="00BA40DC">
        <w:t>Association of British Insurers (ABI</w:t>
      </w:r>
      <w:r w:rsidR="00BA40DC">
        <w:t>) 7</w:t>
      </w:r>
      <w:r w:rsidR="00BA40DC" w:rsidRPr="00BA40DC">
        <w:t>th</w:t>
      </w:r>
      <w:r w:rsidR="00BA40DC">
        <w:t xml:space="preserve"> April 2014.</w:t>
      </w:r>
    </w:p>
    <w:p w:rsidR="00954014" w:rsidRPr="00BA40DC" w:rsidRDefault="00954014" w:rsidP="00393EC6">
      <w:pPr>
        <w:pStyle w:val="ListParagraph"/>
        <w:numPr>
          <w:ilvl w:val="0"/>
          <w:numId w:val="1"/>
        </w:numPr>
        <w:ind w:left="426"/>
      </w:pPr>
      <w:r>
        <w:t>ABI (2014b</w:t>
      </w:r>
      <w:r w:rsidRPr="00BA40DC">
        <w:t>). E-mail from Aidan Kerr (ABI Assistant Director, Head of Property, Fraud and Specialist Lines</w:t>
      </w:r>
      <w:r>
        <w:t xml:space="preserve">) </w:t>
      </w:r>
      <w:r w:rsidRPr="00BA40DC">
        <w:t>17</w:t>
      </w:r>
      <w:r w:rsidRPr="00170127">
        <w:rPr>
          <w:vertAlign w:val="superscript"/>
        </w:rPr>
        <w:t>th</w:t>
      </w:r>
      <w:r>
        <w:t xml:space="preserve"> </w:t>
      </w:r>
      <w:r w:rsidRPr="00BA40DC">
        <w:t>March 2014.</w:t>
      </w:r>
    </w:p>
    <w:p w:rsidR="00933D6D" w:rsidRDefault="00933D6D" w:rsidP="00393EC6">
      <w:pPr>
        <w:pStyle w:val="ListParagraph"/>
        <w:numPr>
          <w:ilvl w:val="0"/>
          <w:numId w:val="1"/>
        </w:numPr>
        <w:overflowPunct/>
        <w:ind w:left="426"/>
        <w:textAlignment w:val="auto"/>
      </w:pPr>
      <w:r w:rsidRPr="00933D6D">
        <w:t xml:space="preserve">Defra </w:t>
      </w:r>
      <w:r>
        <w:t>2012</w:t>
      </w:r>
      <w:r w:rsidRPr="00933D6D">
        <w:t xml:space="preserve"> </w:t>
      </w:r>
      <w:r w:rsidRPr="00170127">
        <w:rPr>
          <w:i/>
        </w:rPr>
        <w:t xml:space="preserve">Summary of the key findings from the UK Climate Change Risk Assessment 2012 </w:t>
      </w:r>
      <w:r w:rsidRPr="00933D6D">
        <w:t>Defra, London</w:t>
      </w:r>
    </w:p>
    <w:p w:rsidR="003C72A2" w:rsidRDefault="003C72A2" w:rsidP="00393EC6">
      <w:pPr>
        <w:pStyle w:val="ListParagraph"/>
        <w:numPr>
          <w:ilvl w:val="0"/>
          <w:numId w:val="1"/>
        </w:numPr>
        <w:ind w:left="426"/>
      </w:pPr>
      <w:r w:rsidRPr="00BA40DC">
        <w:t>Gouldby B, Sayers PB</w:t>
      </w:r>
      <w:r>
        <w:t xml:space="preserve">, Mulet-Marti J, Hassan M, and Benwell D 2008 A Methodology for Regional Scale Flood Risk Assessment </w:t>
      </w:r>
      <w:r w:rsidRPr="00170127">
        <w:rPr>
          <w:i/>
        </w:rPr>
        <w:t>Proceedings of the Institution of Civil Engineers: Water Engineering</w:t>
      </w:r>
      <w:r w:rsidRPr="007757CB">
        <w:t xml:space="preserve"> 161</w:t>
      </w:r>
      <w:r w:rsidR="00933D6D">
        <w:t xml:space="preserve"> </w:t>
      </w:r>
      <w:r w:rsidRPr="007757CB">
        <w:t>169-182</w:t>
      </w:r>
    </w:p>
    <w:p w:rsidR="00BA40DC" w:rsidRPr="00170127" w:rsidRDefault="00BA40DC" w:rsidP="00393EC6">
      <w:pPr>
        <w:pStyle w:val="ListParagraph"/>
        <w:numPr>
          <w:ilvl w:val="0"/>
          <w:numId w:val="1"/>
        </w:numPr>
        <w:ind w:left="426"/>
        <w:rPr>
          <w:szCs w:val="24"/>
        </w:rPr>
      </w:pPr>
      <w:r>
        <w:t xml:space="preserve">Penning-Rowsell, </w:t>
      </w:r>
      <w:r w:rsidRPr="00170127">
        <w:rPr>
          <w:szCs w:val="24"/>
        </w:rPr>
        <w:t xml:space="preserve">EC 2014 A realistic assessment of fluvial and coastal flood risk in England and Wales </w:t>
      </w:r>
      <w:r w:rsidRPr="00170127">
        <w:rPr>
          <w:bCs/>
          <w:i/>
          <w:iCs/>
          <w:szCs w:val="24"/>
        </w:rPr>
        <w:t>Transactions, Institute of British Geographers.</w:t>
      </w:r>
      <w:r w:rsidRPr="00170127">
        <w:rPr>
          <w:szCs w:val="24"/>
        </w:rPr>
        <w:t xml:space="preserve"> </w:t>
      </w:r>
      <w:r w:rsidRPr="00170127">
        <w:rPr>
          <w:bCs/>
          <w:szCs w:val="24"/>
        </w:rPr>
        <w:t xml:space="preserve">Published on line 22.3.2014. </w:t>
      </w:r>
      <w:r w:rsidRPr="00170127">
        <w:rPr>
          <w:lang w:val="en"/>
        </w:rPr>
        <w:t>DOI: 10.1111/tran.12053.</w:t>
      </w:r>
    </w:p>
    <w:p w:rsidR="003C72A2" w:rsidRPr="007757CB" w:rsidRDefault="00BA40DC" w:rsidP="00393EC6">
      <w:pPr>
        <w:pStyle w:val="ListParagraph"/>
        <w:numPr>
          <w:ilvl w:val="0"/>
          <w:numId w:val="1"/>
        </w:numPr>
        <w:ind w:left="426"/>
      </w:pPr>
      <w:r>
        <w:t xml:space="preserve">Penning-Rowsell </w:t>
      </w:r>
      <w:r w:rsidR="003C72A2" w:rsidRPr="007757CB">
        <w:t xml:space="preserve">EC, Chatterton  JB, Wilson T, and Potter E 2002 </w:t>
      </w:r>
      <w:r w:rsidR="003C72A2" w:rsidRPr="00170127">
        <w:rPr>
          <w:i/>
        </w:rPr>
        <w:t>Autumn 2000 floods in England and Wales: assessment of national economic and financial losses</w:t>
      </w:r>
      <w:r w:rsidR="003C72A2" w:rsidRPr="007757CB">
        <w:t xml:space="preserve"> FHRC, London</w:t>
      </w:r>
    </w:p>
    <w:p w:rsidR="00393EC6" w:rsidRDefault="00393EC6">
      <w:pPr>
        <w:overflowPunct/>
        <w:autoSpaceDE/>
        <w:autoSpaceDN/>
        <w:adjustRightInd/>
        <w:textAlignment w:val="auto"/>
      </w:pPr>
    </w:p>
    <w:p w:rsidR="00393EC6" w:rsidRDefault="00393EC6">
      <w:pPr>
        <w:overflowPunct/>
        <w:autoSpaceDE/>
        <w:autoSpaceDN/>
        <w:adjustRightInd/>
        <w:textAlignment w:val="auto"/>
        <w:sectPr w:rsidR="00393EC6" w:rsidSect="0065339A">
          <w:pgSz w:w="11906" w:h="16838"/>
          <w:pgMar w:top="993" w:right="1133" w:bottom="1440" w:left="1134" w:header="708" w:footer="708" w:gutter="0"/>
          <w:cols w:space="708"/>
          <w:docGrid w:linePitch="360"/>
        </w:sectPr>
      </w:pPr>
    </w:p>
    <w:p w:rsidR="00393EC6" w:rsidRDefault="00393EC6" w:rsidP="00AA7F64">
      <w:pPr>
        <w:ind w:left="720"/>
        <w:jc w:val="center"/>
      </w:pPr>
      <w:r w:rsidRPr="00AA7F64">
        <w:lastRenderedPageBreak/>
        <w:t xml:space="preserve">Figure 1. </w:t>
      </w:r>
    </w:p>
    <w:p w:rsidR="00393EC6" w:rsidRDefault="00393EC6" w:rsidP="00393EC6">
      <w:pPr>
        <w:ind w:left="720"/>
        <w:jc w:val="center"/>
      </w:pPr>
      <w:r w:rsidRPr="00AA7F64">
        <w:t>Insured flood losses to residential properties in England an</w:t>
      </w:r>
      <w:r>
        <w:t>d W</w:t>
      </w:r>
      <w:r w:rsidRPr="00AA7F64">
        <w:t>ales 1998-2014</w:t>
      </w:r>
    </w:p>
    <w:p w:rsidR="00393EC6" w:rsidRDefault="00393EC6" w:rsidP="00393EC6">
      <w:pPr>
        <w:ind w:left="720"/>
        <w:jc w:val="center"/>
      </w:pPr>
    </w:p>
    <w:p w:rsidR="00393EC6" w:rsidRDefault="00393EC6" w:rsidP="00393EC6">
      <w:pPr>
        <w:ind w:left="720"/>
        <w:jc w:val="center"/>
      </w:pPr>
      <w:r>
        <w:rPr>
          <w:noProof/>
          <w:lang w:eastAsia="en-GB"/>
        </w:rPr>
        <w:drawing>
          <wp:inline distT="0" distB="0" distL="0" distR="0" wp14:anchorId="53C18CD0" wp14:editId="4343DB08">
            <wp:extent cx="6553200" cy="4622800"/>
            <wp:effectExtent l="0" t="0" r="19050" b="254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sectPr w:rsidR="00393EC6" w:rsidSect="00393EC6">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39A" w:rsidRDefault="0034639A" w:rsidP="00D06386">
      <w:r>
        <w:separator/>
      </w:r>
    </w:p>
  </w:endnote>
  <w:endnote w:type="continuationSeparator" w:id="0">
    <w:p w:rsidR="0034639A" w:rsidRDefault="0034639A" w:rsidP="00D06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39A" w:rsidRDefault="0034639A" w:rsidP="00D06386">
      <w:r>
        <w:separator/>
      </w:r>
    </w:p>
  </w:footnote>
  <w:footnote w:type="continuationSeparator" w:id="0">
    <w:p w:rsidR="0034639A" w:rsidRDefault="0034639A" w:rsidP="00D06386">
      <w:r>
        <w:continuationSeparator/>
      </w:r>
    </w:p>
  </w:footnote>
  <w:footnote w:id="1">
    <w:p w:rsidR="00D06386" w:rsidRDefault="00D06386">
      <w:pPr>
        <w:pStyle w:val="FootnoteText"/>
      </w:pPr>
      <w:r>
        <w:rPr>
          <w:rStyle w:val="FootnoteReference"/>
        </w:rPr>
        <w:footnoteRef/>
      </w:r>
      <w:r>
        <w:t xml:space="preserve"> </w:t>
      </w:r>
      <w:r w:rsidRPr="00D06386">
        <w:rPr>
          <w:sz w:val="18"/>
          <w:szCs w:val="18"/>
        </w:rPr>
        <w:t>A small correction: the figure of £0.268bn in Table IV of that paper should be £0.322bn (to correct for insurance penetration). This does not affect the final (£0.25bn) average when given to 2 significant figures</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A38F6"/>
    <w:multiLevelType w:val="hybridMultilevel"/>
    <w:tmpl w:val="D00621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B17DE56-CA2C-469D-9628-5107F9EA8E24}"/>
    <w:docVar w:name="dgnword-eventsink" w:val="46612408"/>
  </w:docVars>
  <w:rsids>
    <w:rsidRoot w:val="00261F5F"/>
    <w:rsid w:val="00077094"/>
    <w:rsid w:val="00170127"/>
    <w:rsid w:val="00196F60"/>
    <w:rsid w:val="001A4612"/>
    <w:rsid w:val="00261F5F"/>
    <w:rsid w:val="00293D24"/>
    <w:rsid w:val="00294953"/>
    <w:rsid w:val="00326B93"/>
    <w:rsid w:val="0034639A"/>
    <w:rsid w:val="00393EC6"/>
    <w:rsid w:val="003C72A2"/>
    <w:rsid w:val="00471870"/>
    <w:rsid w:val="00476CD6"/>
    <w:rsid w:val="00511578"/>
    <w:rsid w:val="00513958"/>
    <w:rsid w:val="00530DCF"/>
    <w:rsid w:val="00590679"/>
    <w:rsid w:val="0065339A"/>
    <w:rsid w:val="006A4B8B"/>
    <w:rsid w:val="00731917"/>
    <w:rsid w:val="007502D4"/>
    <w:rsid w:val="0075188E"/>
    <w:rsid w:val="00772100"/>
    <w:rsid w:val="007A013F"/>
    <w:rsid w:val="00853877"/>
    <w:rsid w:val="009263B1"/>
    <w:rsid w:val="00933D6D"/>
    <w:rsid w:val="00954014"/>
    <w:rsid w:val="0096413E"/>
    <w:rsid w:val="009D1283"/>
    <w:rsid w:val="00A464C4"/>
    <w:rsid w:val="00A637EA"/>
    <w:rsid w:val="00A71BE6"/>
    <w:rsid w:val="00AC7CE6"/>
    <w:rsid w:val="00B0512C"/>
    <w:rsid w:val="00B56FAE"/>
    <w:rsid w:val="00BA40DC"/>
    <w:rsid w:val="00BC015E"/>
    <w:rsid w:val="00BC1C99"/>
    <w:rsid w:val="00BD4163"/>
    <w:rsid w:val="00C64F55"/>
    <w:rsid w:val="00D06386"/>
    <w:rsid w:val="00D3764D"/>
    <w:rsid w:val="00DC4F2F"/>
    <w:rsid w:val="00F51971"/>
    <w:rsid w:val="00F61F11"/>
    <w:rsid w:val="00FD1D8C"/>
    <w:rsid w:val="00FF6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4C4"/>
    <w:pPr>
      <w:overflowPunct w:val="0"/>
      <w:autoSpaceDE w:val="0"/>
      <w:autoSpaceDN w:val="0"/>
      <w:adjustRightInd w:val="0"/>
      <w:textAlignment w:val="baseline"/>
    </w:pPr>
    <w:rPr>
      <w:sz w:val="24"/>
      <w:lang w:eastAsia="en-US"/>
    </w:rPr>
  </w:style>
  <w:style w:type="paragraph" w:styleId="Heading1">
    <w:name w:val="heading 1"/>
    <w:basedOn w:val="Normal"/>
    <w:next w:val="Normal"/>
    <w:link w:val="Heading1Char"/>
    <w:uiPriority w:val="9"/>
    <w:qFormat/>
    <w:rsid w:val="00A464C4"/>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4C4"/>
    <w:rPr>
      <w:rFonts w:asciiTheme="majorHAnsi" w:eastAsiaTheme="majorEastAsia" w:hAnsiTheme="majorHAnsi" w:cstheme="majorBidi"/>
      <w:b/>
      <w:bCs/>
      <w:kern w:val="32"/>
      <w:sz w:val="32"/>
      <w:szCs w:val="32"/>
      <w:lang w:eastAsia="en-US"/>
    </w:rPr>
  </w:style>
  <w:style w:type="paragraph" w:styleId="Caption">
    <w:name w:val="caption"/>
    <w:basedOn w:val="Normal"/>
    <w:next w:val="Normal"/>
    <w:qFormat/>
    <w:rsid w:val="00A464C4"/>
    <w:pPr>
      <w:framePr w:w="5188" w:h="1879" w:hRule="exact" w:wrap="around" w:vAnchor="page" w:hAnchor="page" w:x="1729" w:y="2737" w:anchorLock="1"/>
      <w:ind w:left="90" w:right="229"/>
    </w:pPr>
    <w:rPr>
      <w:rFonts w:ascii="Tahoma" w:hAnsi="Tahoma" w:cs="Tahoma"/>
      <w:b/>
      <w:bCs/>
      <w:sz w:val="22"/>
    </w:rPr>
  </w:style>
  <w:style w:type="character" w:styleId="Strong">
    <w:name w:val="Strong"/>
    <w:qFormat/>
    <w:rsid w:val="00A464C4"/>
    <w:rPr>
      <w:b/>
      <w:bCs/>
    </w:rPr>
  </w:style>
  <w:style w:type="paragraph" w:styleId="Bibliography">
    <w:name w:val="Bibliography"/>
    <w:basedOn w:val="Normal"/>
    <w:next w:val="Normal"/>
    <w:uiPriority w:val="37"/>
    <w:unhideWhenUsed/>
    <w:rsid w:val="003C72A2"/>
    <w:pPr>
      <w:overflowPunct/>
      <w:autoSpaceDE/>
      <w:autoSpaceDN/>
      <w:adjustRightInd/>
      <w:textAlignment w:val="auto"/>
    </w:pPr>
    <w:rPr>
      <w:rFonts w:eastAsia="Calibri"/>
    </w:rPr>
  </w:style>
  <w:style w:type="paragraph" w:styleId="ListParagraph">
    <w:name w:val="List Paragraph"/>
    <w:basedOn w:val="Normal"/>
    <w:uiPriority w:val="34"/>
    <w:qFormat/>
    <w:rsid w:val="00170127"/>
    <w:pPr>
      <w:ind w:left="720"/>
      <w:contextualSpacing/>
    </w:pPr>
  </w:style>
  <w:style w:type="paragraph" w:styleId="FootnoteText">
    <w:name w:val="footnote text"/>
    <w:basedOn w:val="Normal"/>
    <w:link w:val="FootnoteTextChar"/>
    <w:uiPriority w:val="99"/>
    <w:semiHidden/>
    <w:unhideWhenUsed/>
    <w:rsid w:val="00D06386"/>
    <w:rPr>
      <w:sz w:val="20"/>
    </w:rPr>
  </w:style>
  <w:style w:type="character" w:customStyle="1" w:styleId="FootnoteTextChar">
    <w:name w:val="Footnote Text Char"/>
    <w:basedOn w:val="DefaultParagraphFont"/>
    <w:link w:val="FootnoteText"/>
    <w:uiPriority w:val="99"/>
    <w:semiHidden/>
    <w:rsid w:val="00D06386"/>
    <w:rPr>
      <w:lang w:eastAsia="en-US"/>
    </w:rPr>
  </w:style>
  <w:style w:type="character" w:styleId="FootnoteReference">
    <w:name w:val="footnote reference"/>
    <w:basedOn w:val="DefaultParagraphFont"/>
    <w:uiPriority w:val="99"/>
    <w:semiHidden/>
    <w:unhideWhenUsed/>
    <w:rsid w:val="00D06386"/>
    <w:rPr>
      <w:vertAlign w:val="superscript"/>
    </w:rPr>
  </w:style>
  <w:style w:type="paragraph" w:styleId="BalloonText">
    <w:name w:val="Balloon Text"/>
    <w:basedOn w:val="Normal"/>
    <w:link w:val="BalloonTextChar"/>
    <w:uiPriority w:val="99"/>
    <w:semiHidden/>
    <w:unhideWhenUsed/>
    <w:rsid w:val="00393EC6"/>
    <w:rPr>
      <w:rFonts w:ascii="Tahoma" w:hAnsi="Tahoma" w:cs="Tahoma"/>
      <w:sz w:val="16"/>
      <w:szCs w:val="16"/>
    </w:rPr>
  </w:style>
  <w:style w:type="character" w:customStyle="1" w:styleId="BalloonTextChar">
    <w:name w:val="Balloon Text Char"/>
    <w:basedOn w:val="DefaultParagraphFont"/>
    <w:link w:val="BalloonText"/>
    <w:uiPriority w:val="99"/>
    <w:semiHidden/>
    <w:rsid w:val="00393EC6"/>
    <w:rPr>
      <w:rFonts w:ascii="Tahoma" w:hAnsi="Tahoma" w:cs="Tahoma"/>
      <w:sz w:val="16"/>
      <w:szCs w:val="16"/>
      <w:lang w:eastAsia="en-US"/>
    </w:rPr>
  </w:style>
  <w:style w:type="character" w:styleId="Hyperlink">
    <w:name w:val="Hyperlink"/>
    <w:basedOn w:val="DefaultParagraphFont"/>
    <w:uiPriority w:val="99"/>
    <w:unhideWhenUsed/>
    <w:rsid w:val="006533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4C4"/>
    <w:pPr>
      <w:overflowPunct w:val="0"/>
      <w:autoSpaceDE w:val="0"/>
      <w:autoSpaceDN w:val="0"/>
      <w:adjustRightInd w:val="0"/>
      <w:textAlignment w:val="baseline"/>
    </w:pPr>
    <w:rPr>
      <w:sz w:val="24"/>
      <w:lang w:eastAsia="en-US"/>
    </w:rPr>
  </w:style>
  <w:style w:type="paragraph" w:styleId="Heading1">
    <w:name w:val="heading 1"/>
    <w:basedOn w:val="Normal"/>
    <w:next w:val="Normal"/>
    <w:link w:val="Heading1Char"/>
    <w:uiPriority w:val="9"/>
    <w:qFormat/>
    <w:rsid w:val="00A464C4"/>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4C4"/>
    <w:rPr>
      <w:rFonts w:asciiTheme="majorHAnsi" w:eastAsiaTheme="majorEastAsia" w:hAnsiTheme="majorHAnsi" w:cstheme="majorBidi"/>
      <w:b/>
      <w:bCs/>
      <w:kern w:val="32"/>
      <w:sz w:val="32"/>
      <w:szCs w:val="32"/>
      <w:lang w:eastAsia="en-US"/>
    </w:rPr>
  </w:style>
  <w:style w:type="paragraph" w:styleId="Caption">
    <w:name w:val="caption"/>
    <w:basedOn w:val="Normal"/>
    <w:next w:val="Normal"/>
    <w:qFormat/>
    <w:rsid w:val="00A464C4"/>
    <w:pPr>
      <w:framePr w:w="5188" w:h="1879" w:hRule="exact" w:wrap="around" w:vAnchor="page" w:hAnchor="page" w:x="1729" w:y="2737" w:anchorLock="1"/>
      <w:ind w:left="90" w:right="229"/>
    </w:pPr>
    <w:rPr>
      <w:rFonts w:ascii="Tahoma" w:hAnsi="Tahoma" w:cs="Tahoma"/>
      <w:b/>
      <w:bCs/>
      <w:sz w:val="22"/>
    </w:rPr>
  </w:style>
  <w:style w:type="character" w:styleId="Strong">
    <w:name w:val="Strong"/>
    <w:qFormat/>
    <w:rsid w:val="00A464C4"/>
    <w:rPr>
      <w:b/>
      <w:bCs/>
    </w:rPr>
  </w:style>
  <w:style w:type="paragraph" w:styleId="Bibliography">
    <w:name w:val="Bibliography"/>
    <w:basedOn w:val="Normal"/>
    <w:next w:val="Normal"/>
    <w:uiPriority w:val="37"/>
    <w:unhideWhenUsed/>
    <w:rsid w:val="003C72A2"/>
    <w:pPr>
      <w:overflowPunct/>
      <w:autoSpaceDE/>
      <w:autoSpaceDN/>
      <w:adjustRightInd/>
      <w:textAlignment w:val="auto"/>
    </w:pPr>
    <w:rPr>
      <w:rFonts w:eastAsia="Calibri"/>
    </w:rPr>
  </w:style>
  <w:style w:type="paragraph" w:styleId="ListParagraph">
    <w:name w:val="List Paragraph"/>
    <w:basedOn w:val="Normal"/>
    <w:uiPriority w:val="34"/>
    <w:qFormat/>
    <w:rsid w:val="00170127"/>
    <w:pPr>
      <w:ind w:left="720"/>
      <w:contextualSpacing/>
    </w:pPr>
  </w:style>
  <w:style w:type="paragraph" w:styleId="FootnoteText">
    <w:name w:val="footnote text"/>
    <w:basedOn w:val="Normal"/>
    <w:link w:val="FootnoteTextChar"/>
    <w:uiPriority w:val="99"/>
    <w:semiHidden/>
    <w:unhideWhenUsed/>
    <w:rsid w:val="00D06386"/>
    <w:rPr>
      <w:sz w:val="20"/>
    </w:rPr>
  </w:style>
  <w:style w:type="character" w:customStyle="1" w:styleId="FootnoteTextChar">
    <w:name w:val="Footnote Text Char"/>
    <w:basedOn w:val="DefaultParagraphFont"/>
    <w:link w:val="FootnoteText"/>
    <w:uiPriority w:val="99"/>
    <w:semiHidden/>
    <w:rsid w:val="00D06386"/>
    <w:rPr>
      <w:lang w:eastAsia="en-US"/>
    </w:rPr>
  </w:style>
  <w:style w:type="character" w:styleId="FootnoteReference">
    <w:name w:val="footnote reference"/>
    <w:basedOn w:val="DefaultParagraphFont"/>
    <w:uiPriority w:val="99"/>
    <w:semiHidden/>
    <w:unhideWhenUsed/>
    <w:rsid w:val="00D06386"/>
    <w:rPr>
      <w:vertAlign w:val="superscript"/>
    </w:rPr>
  </w:style>
  <w:style w:type="paragraph" w:styleId="BalloonText">
    <w:name w:val="Balloon Text"/>
    <w:basedOn w:val="Normal"/>
    <w:link w:val="BalloonTextChar"/>
    <w:uiPriority w:val="99"/>
    <w:semiHidden/>
    <w:unhideWhenUsed/>
    <w:rsid w:val="00393EC6"/>
    <w:rPr>
      <w:rFonts w:ascii="Tahoma" w:hAnsi="Tahoma" w:cs="Tahoma"/>
      <w:sz w:val="16"/>
      <w:szCs w:val="16"/>
    </w:rPr>
  </w:style>
  <w:style w:type="character" w:customStyle="1" w:styleId="BalloonTextChar">
    <w:name w:val="Balloon Text Char"/>
    <w:basedOn w:val="DefaultParagraphFont"/>
    <w:link w:val="BalloonText"/>
    <w:uiPriority w:val="99"/>
    <w:semiHidden/>
    <w:rsid w:val="00393EC6"/>
    <w:rPr>
      <w:rFonts w:ascii="Tahoma" w:hAnsi="Tahoma" w:cs="Tahoma"/>
      <w:sz w:val="16"/>
      <w:szCs w:val="16"/>
      <w:lang w:eastAsia="en-US"/>
    </w:rPr>
  </w:style>
  <w:style w:type="character" w:styleId="Hyperlink">
    <w:name w:val="Hyperlink"/>
    <w:basedOn w:val="DefaultParagraphFont"/>
    <w:uiPriority w:val="99"/>
    <w:unhideWhenUsed/>
    <w:rsid w:val="006533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605614">
      <w:bodyDiv w:val="1"/>
      <w:marLeft w:val="0"/>
      <w:marRight w:val="0"/>
      <w:marTop w:val="0"/>
      <w:marBottom w:val="0"/>
      <w:divBdr>
        <w:top w:val="none" w:sz="0" w:space="0" w:color="auto"/>
        <w:left w:val="none" w:sz="0" w:space="0" w:color="auto"/>
        <w:bottom w:val="none" w:sz="0" w:space="0" w:color="auto"/>
        <w:right w:val="none" w:sz="0" w:space="0" w:color="auto"/>
      </w:divBdr>
    </w:div>
    <w:div w:id="988636495">
      <w:bodyDiv w:val="1"/>
      <w:marLeft w:val="0"/>
      <w:marRight w:val="0"/>
      <w:marTop w:val="0"/>
      <w:marBottom w:val="0"/>
      <w:divBdr>
        <w:top w:val="none" w:sz="0" w:space="0" w:color="auto"/>
        <w:left w:val="none" w:sz="0" w:space="0" w:color="auto"/>
        <w:bottom w:val="none" w:sz="0" w:space="0" w:color="auto"/>
        <w:right w:val="none" w:sz="0" w:space="0" w:color="auto"/>
      </w:divBdr>
    </w:div>
    <w:div w:id="120182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mailto:Edmnund@penningrowsell.com"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Edmund\Documents\Google%20Drive\National%20flood%20assessment%20paper\Post-publication%20material\Summary%20table%207%20copy%20with%20post-publication%20additions%20v%20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16922859625271233"/>
          <c:y val="5.7030067932684884E-2"/>
          <c:w val="0.78594175193341487"/>
          <c:h val="0.75939321091147838"/>
        </c:manualLayout>
      </c:layout>
      <c:barChart>
        <c:barDir val="col"/>
        <c:grouping val="clustered"/>
        <c:varyColors val="0"/>
        <c:ser>
          <c:idx val="0"/>
          <c:order val="0"/>
          <c:tx>
            <c:strRef>
              <c:f>Sheet2!$S$1</c:f>
              <c:strCache>
                <c:ptCount val="1"/>
                <c:pt idx="0">
                  <c:v>Raw data from ABI</c:v>
                </c:pt>
              </c:strCache>
            </c:strRef>
          </c:tx>
          <c:spPr>
            <a:solidFill>
              <a:schemeClr val="bg1">
                <a:lumMod val="75000"/>
              </a:schemeClr>
            </a:solidFill>
            <a:ln>
              <a:solidFill>
                <a:sysClr val="windowText" lastClr="000000"/>
              </a:solidFill>
            </a:ln>
          </c:spPr>
          <c:invertIfNegative val="0"/>
          <c:cat>
            <c:strRef>
              <c:f>Sheet2!$R$5:$R$21</c:f>
              <c:strCache>
                <c:ptCount val="17"/>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2013/14</c:v>
                </c:pt>
                <c:pt idx="16">
                  <c:v>Mean </c:v>
                </c:pt>
              </c:strCache>
            </c:strRef>
          </c:cat>
          <c:val>
            <c:numRef>
              <c:f>Sheet2!$S$5:$S$21</c:f>
              <c:numCache>
                <c:formatCode>General</c:formatCode>
                <c:ptCount val="17"/>
                <c:pt idx="0">
                  <c:v>0.17100000000000001</c:v>
                </c:pt>
                <c:pt idx="1">
                  <c:v>7.1999999999999995E-2</c:v>
                </c:pt>
                <c:pt idx="2">
                  <c:v>0.318</c:v>
                </c:pt>
                <c:pt idx="3">
                  <c:v>0.20100000000000001</c:v>
                </c:pt>
                <c:pt idx="4">
                  <c:v>0.17199999999999999</c:v>
                </c:pt>
                <c:pt idx="5">
                  <c:v>8.5999999999999993E-2</c:v>
                </c:pt>
                <c:pt idx="6">
                  <c:v>7.1999999999999995E-2</c:v>
                </c:pt>
                <c:pt idx="7">
                  <c:v>0.18099999999999999</c:v>
                </c:pt>
                <c:pt idx="8">
                  <c:v>7.0000000000000007E-2</c:v>
                </c:pt>
                <c:pt idx="9">
                  <c:v>1.0509999999999999</c:v>
                </c:pt>
                <c:pt idx="10">
                  <c:v>0.28199999999999997</c:v>
                </c:pt>
                <c:pt idx="11">
                  <c:v>0.16400000000000001</c:v>
                </c:pt>
                <c:pt idx="12">
                  <c:v>0.10199999999999999</c:v>
                </c:pt>
                <c:pt idx="13">
                  <c:v>5.1999999999999998E-2</c:v>
                </c:pt>
                <c:pt idx="14">
                  <c:v>0.33500000000000002</c:v>
                </c:pt>
                <c:pt idx="15">
                  <c:v>0.27600000000000002</c:v>
                </c:pt>
                <c:pt idx="16" formatCode="0.000">
                  <c:v>0.22531250000000003</c:v>
                </c:pt>
              </c:numCache>
            </c:numRef>
          </c:val>
        </c:ser>
        <c:ser>
          <c:idx val="1"/>
          <c:order val="1"/>
          <c:tx>
            <c:strRef>
              <c:f>Sheet2!$U$1</c:f>
              <c:strCache>
                <c:ptCount val="1"/>
                <c:pt idx="0">
                  <c:v>Deflated to economic values + 22% (see text)</c:v>
                </c:pt>
              </c:strCache>
            </c:strRef>
          </c:tx>
          <c:spPr>
            <a:solidFill>
              <a:schemeClr val="tx1"/>
            </a:solidFill>
          </c:spPr>
          <c:invertIfNegative val="0"/>
          <c:dLbls>
            <c:dLbl>
              <c:idx val="16"/>
              <c:layout>
                <c:manualLayout>
                  <c:x val="-3.2286817866693076E-3"/>
                  <c:y val="-0.14938300910915547"/>
                </c:manualLayout>
              </c:layout>
              <c:spPr>
                <a:solidFill>
                  <a:sysClr val="window" lastClr="FFFFFF"/>
                </a:solidFill>
                <a:ln>
                  <a:solidFill>
                    <a:schemeClr val="tx1"/>
                  </a:solidFill>
                </a:ln>
              </c:spPr>
              <c:txPr>
                <a:bodyPr rot="-5400000"/>
                <a:lstStyle/>
                <a:p>
                  <a:pPr>
                    <a:defRPr sz="1600"/>
                  </a:pPr>
                  <a:endParaRPr lang="en-US"/>
                </a:p>
              </c:txPr>
              <c:dLblPos val="outEnd"/>
              <c:showLegendKey val="0"/>
              <c:showVal val="1"/>
              <c:showCatName val="0"/>
              <c:showSerName val="0"/>
              <c:showPercent val="0"/>
              <c:showBubbleSize val="0"/>
            </c:dLbl>
            <c:showLegendKey val="0"/>
            <c:showVal val="0"/>
            <c:showCatName val="0"/>
            <c:showSerName val="0"/>
            <c:showPercent val="0"/>
            <c:showBubbleSize val="0"/>
          </c:dLbls>
          <c:cat>
            <c:strRef>
              <c:f>Sheet2!$R$5:$R$21</c:f>
              <c:strCache>
                <c:ptCount val="17"/>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2013/14</c:v>
                </c:pt>
                <c:pt idx="16">
                  <c:v>Mean </c:v>
                </c:pt>
              </c:strCache>
            </c:strRef>
          </c:cat>
          <c:val>
            <c:numRef>
              <c:f>Sheet2!$U$5:$U$21</c:f>
              <c:numCache>
                <c:formatCode>0.000</c:formatCode>
                <c:ptCount val="17"/>
                <c:pt idx="0">
                  <c:v>0.11096808510638298</c:v>
                </c:pt>
                <c:pt idx="1">
                  <c:v>4.6723404255319151E-2</c:v>
                </c:pt>
                <c:pt idx="2">
                  <c:v>0.20636170212765959</c:v>
                </c:pt>
                <c:pt idx="3">
                  <c:v>0.13043617021276596</c:v>
                </c:pt>
                <c:pt idx="4">
                  <c:v>0.11161702127659573</c:v>
                </c:pt>
                <c:pt idx="5">
                  <c:v>5.5808510638297865E-2</c:v>
                </c:pt>
                <c:pt idx="6">
                  <c:v>4.6723404255319151E-2</c:v>
                </c:pt>
                <c:pt idx="7">
                  <c:v>0.11745744680851061</c:v>
                </c:pt>
                <c:pt idx="8">
                  <c:v>4.5425531914893624E-2</c:v>
                </c:pt>
                <c:pt idx="9">
                  <c:v>0.68203191489361692</c:v>
                </c:pt>
                <c:pt idx="10">
                  <c:v>0.18299999999999997</c:v>
                </c:pt>
                <c:pt idx="11">
                  <c:v>0.10642553191489364</c:v>
                </c:pt>
                <c:pt idx="12">
                  <c:v>6.6191489361702119E-2</c:v>
                </c:pt>
                <c:pt idx="13">
                  <c:v>3.3041666666666664E-2</c:v>
                </c:pt>
                <c:pt idx="14">
                  <c:v>0.21286458333333336</c:v>
                </c:pt>
                <c:pt idx="15">
                  <c:v>0.175375</c:v>
                </c:pt>
                <c:pt idx="16" formatCode="_-&quot;£&quot;* #,##0.000_-;\-&quot;£&quot;* #,##0.000_-;_-&quot;£&quot;* &quot;-&quot;??_-;_-@_-">
                  <c:v>0.14565321642287232</c:v>
                </c:pt>
              </c:numCache>
            </c:numRef>
          </c:val>
        </c:ser>
        <c:dLbls>
          <c:showLegendKey val="0"/>
          <c:showVal val="0"/>
          <c:showCatName val="0"/>
          <c:showSerName val="0"/>
          <c:showPercent val="0"/>
          <c:showBubbleSize val="0"/>
        </c:dLbls>
        <c:gapWidth val="150"/>
        <c:axId val="68835968"/>
        <c:axId val="75043200"/>
      </c:barChart>
      <c:catAx>
        <c:axId val="68835968"/>
        <c:scaling>
          <c:orientation val="minMax"/>
        </c:scaling>
        <c:delete val="0"/>
        <c:axPos val="b"/>
        <c:numFmt formatCode="General" sourceLinked="1"/>
        <c:majorTickMark val="out"/>
        <c:minorTickMark val="none"/>
        <c:tickLblPos val="nextTo"/>
        <c:txPr>
          <a:bodyPr rot="-3000000"/>
          <a:lstStyle/>
          <a:p>
            <a:pPr>
              <a:defRPr sz="1200"/>
            </a:pPr>
            <a:endParaRPr lang="en-US"/>
          </a:p>
        </c:txPr>
        <c:crossAx val="75043200"/>
        <c:crosses val="autoZero"/>
        <c:auto val="1"/>
        <c:lblAlgn val="ctr"/>
        <c:lblOffset val="100"/>
        <c:noMultiLvlLbl val="0"/>
      </c:catAx>
      <c:valAx>
        <c:axId val="75043200"/>
        <c:scaling>
          <c:orientation val="minMax"/>
        </c:scaling>
        <c:delete val="0"/>
        <c:axPos val="l"/>
        <c:majorGridlines/>
        <c:title>
          <c:tx>
            <c:rich>
              <a:bodyPr rot="-5400000" vert="horz"/>
              <a:lstStyle/>
              <a:p>
                <a:pPr>
                  <a:defRPr sz="1600"/>
                </a:pPr>
                <a:r>
                  <a:rPr lang="en-US" sz="1600"/>
                  <a:t>£bn at 2010 prices (except 2011 to 2013/14 which are at prices then ruling)</a:t>
                </a:r>
              </a:p>
            </c:rich>
          </c:tx>
          <c:layout>
            <c:manualLayout>
              <c:xMode val="edge"/>
              <c:yMode val="edge"/>
              <c:x val="1.7022343360926038E-2"/>
              <c:y val="6.5635164353310932E-2"/>
            </c:manualLayout>
          </c:layout>
          <c:overlay val="0"/>
        </c:title>
        <c:numFmt formatCode="General" sourceLinked="1"/>
        <c:majorTickMark val="out"/>
        <c:minorTickMark val="none"/>
        <c:tickLblPos val="nextTo"/>
        <c:txPr>
          <a:bodyPr/>
          <a:lstStyle/>
          <a:p>
            <a:pPr>
              <a:defRPr sz="1400"/>
            </a:pPr>
            <a:endParaRPr lang="en-US"/>
          </a:p>
        </c:txPr>
        <c:crossAx val="68835968"/>
        <c:crosses val="autoZero"/>
        <c:crossBetween val="between"/>
      </c:valAx>
    </c:plotArea>
    <c:legend>
      <c:legendPos val="r"/>
      <c:layout>
        <c:manualLayout>
          <c:xMode val="edge"/>
          <c:yMode val="edge"/>
          <c:x val="0.21769247827978722"/>
          <c:y val="0.12596591786320827"/>
          <c:w val="0.32013779527559055"/>
          <c:h val="0.27043693067778291"/>
        </c:manualLayout>
      </c:layout>
      <c:overlay val="0"/>
      <c:spPr>
        <a:solidFill>
          <a:sysClr val="window" lastClr="FFFFFF"/>
        </a:solidFill>
        <a:ln>
          <a:solidFill>
            <a:sysClr val="windowText" lastClr="000000"/>
          </a:solidFill>
        </a:ln>
      </c:spPr>
      <c:txPr>
        <a:bodyPr/>
        <a:lstStyle/>
        <a:p>
          <a:pPr>
            <a:defRPr sz="1200"/>
          </a:pPr>
          <a:endParaRPr lang="en-US"/>
        </a:p>
      </c:txPr>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absSizeAnchor xmlns:cdr="http://schemas.openxmlformats.org/drawingml/2006/chartDrawing">
    <cdr:from>
      <cdr:x>0.16218</cdr:x>
      <cdr:y>0.72366</cdr:y>
    </cdr:from>
    <cdr:ext cx="7098252" cy="10251"/>
    <cdr:sp macro="" textlink="">
      <cdr:nvSpPr>
        <cdr:cNvPr id="3" name="Straight Connector 2"/>
        <cdr:cNvSpPr/>
      </cdr:nvSpPr>
      <cdr:spPr>
        <a:xfrm xmlns:a="http://schemas.openxmlformats.org/drawingml/2006/main" flipH="1">
          <a:off x="1439917" y="3717637"/>
          <a:ext cx="7098252" cy="10251"/>
        </a:xfrm>
        <a:prstGeom xmlns:a="http://schemas.openxmlformats.org/drawingml/2006/main" prst="line">
          <a:avLst/>
        </a:prstGeom>
        <a:ln xmlns:a="http://schemas.openxmlformats.org/drawingml/2006/main" w="57150">
          <a:solidFill>
            <a:sysClr val="windowText" lastClr="000000"/>
          </a:solidFill>
          <a:prstDash val="sysDot"/>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GB"/>
        </a:p>
      </cdr:txBody>
    </cdr:sp>
  </cdr:absSizeAnchor>
  <cdr:relSizeAnchor xmlns:cdr="http://schemas.openxmlformats.org/drawingml/2006/chartDrawing">
    <cdr:from>
      <cdr:x>0.93227</cdr:x>
      <cdr:y>0.58456</cdr:y>
    </cdr:from>
    <cdr:to>
      <cdr:x>0.94083</cdr:x>
      <cdr:y>0.66728</cdr:y>
    </cdr:to>
    <cdr:sp macro="" textlink="">
      <cdr:nvSpPr>
        <cdr:cNvPr id="2" name="Down Arrow 1"/>
        <cdr:cNvSpPr/>
      </cdr:nvSpPr>
      <cdr:spPr>
        <a:xfrm xmlns:a="http://schemas.openxmlformats.org/drawingml/2006/main">
          <a:off x="8276995" y="3003030"/>
          <a:ext cx="75964" cy="424957"/>
        </a:xfrm>
        <a:prstGeom xmlns:a="http://schemas.openxmlformats.org/drawingml/2006/main" prst="downArrow">
          <a:avLst/>
        </a:prstGeom>
        <a:solidFill xmlns:a="http://schemas.openxmlformats.org/drawingml/2006/main">
          <a:schemeClr val="tx1"/>
        </a:solidFill>
        <a:ln xmlns:a="http://schemas.openxmlformats.org/drawingml/2006/main">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GB"/>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C8320-544A-4049-99C6-171BD6AF2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Edmund Penning-Rowsell</dc:creator>
  <cp:lastModifiedBy>Edmund Penning-Rowsell</cp:lastModifiedBy>
  <cp:revision>4</cp:revision>
  <cp:lastPrinted>2014-05-13T15:46:00Z</cp:lastPrinted>
  <dcterms:created xsi:type="dcterms:W3CDTF">2014-05-13T15:46:00Z</dcterms:created>
  <dcterms:modified xsi:type="dcterms:W3CDTF">2014-05-13T15:48:00Z</dcterms:modified>
</cp:coreProperties>
</file>